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i w:val="0"/>
          <w:iCs w:val="0"/>
          <w:color w:val="000000"/>
          <w:kern w:val="0"/>
          <w:sz w:val="32"/>
          <w:szCs w:val="32"/>
          <w:u w:val="none"/>
          <w:lang w:val="en-US" w:eastAsia="zh-CN" w:bidi="ar"/>
        </w:rPr>
      </w:pPr>
      <w:bookmarkStart w:id="0" w:name="RiseOffice_body"/>
      <w:bookmarkStart w:id="1" w:name="OLE_LINK7"/>
      <w:bookmarkStart w:id="2" w:name="OLE_LINK3"/>
      <w:bookmarkStart w:id="3" w:name="OLE_LINK5"/>
      <w:bookmarkStart w:id="4" w:name="OLE_LINK1"/>
      <w:r>
        <w:rPr>
          <w:rFonts w:hint="default" w:ascii="Times New Roman" w:hAnsi="Times New Roman" w:eastAsia="黑体" w:cs="Times New Roman"/>
          <w:i w:val="0"/>
          <w:iCs w:val="0"/>
          <w:color w:val="000000"/>
          <w:kern w:val="0"/>
          <w:sz w:val="32"/>
          <w:szCs w:val="32"/>
          <w:u w:val="none"/>
          <w:lang w:val="en-US" w:eastAsia="zh-CN" w:bidi="ar"/>
        </w:rPr>
        <w:t>附件</w:t>
      </w:r>
      <w:bookmarkStart w:id="10" w:name="_GoBack"/>
      <w:bookmarkEnd w:id="10"/>
    </w:p>
    <w:p>
      <w:pPr>
        <w:jc w:val="center"/>
        <w:rPr>
          <w:rFonts w:hint="eastAsia" w:ascii="Times New Roman" w:hAnsi="Times New Roman" w:eastAsia="仿宋" w:cs="Times New Roman"/>
          <w:b w:val="0"/>
          <w:bCs w:val="0"/>
          <w:color w:val="auto"/>
          <w:kern w:val="2"/>
          <w:sz w:val="44"/>
          <w:szCs w:val="44"/>
          <w:highlight w:val="none"/>
          <w:shd w:val="clear" w:color="auto" w:fill="FFFFFF"/>
          <w:lang w:eastAsia="zh-CN"/>
        </w:rPr>
      </w:pPr>
      <w:r>
        <w:rPr>
          <w:rFonts w:hint="default" w:ascii="Times New Roman" w:hAnsi="Times New Roman" w:eastAsia="方正小标宋简体" w:cs="Times New Roman"/>
          <w:i w:val="0"/>
          <w:iCs w:val="0"/>
          <w:color w:val="000000"/>
          <w:kern w:val="0"/>
          <w:sz w:val="44"/>
          <w:szCs w:val="44"/>
          <w:u w:val="none"/>
          <w:lang w:val="en-US" w:eastAsia="zh-CN" w:bidi="ar"/>
        </w:rPr>
        <w:t>浙江省水利建设市场主体信用评价指标（施工单位）</w:t>
      </w:r>
    </w:p>
    <w:tbl>
      <w:tblPr>
        <w:tblStyle w:val="17"/>
        <w:tblW w:w="55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7"/>
        <w:gridCol w:w="1122"/>
        <w:gridCol w:w="1171"/>
        <w:gridCol w:w="781"/>
        <w:gridCol w:w="1618"/>
        <w:gridCol w:w="4026"/>
        <w:gridCol w:w="4780"/>
        <w:gridCol w:w="7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blHeader/>
          <w:jc w:val="center"/>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一级指标</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二级指标</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三级指标</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分值(分)</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计分时限</w:t>
            </w:r>
          </w:p>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（信息有效性）</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计分项</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赋分标准</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2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履约能力</w:t>
            </w: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企业状况</w:t>
            </w:r>
            <w:r>
              <w:rPr>
                <w:rStyle w:val="35"/>
                <w:rFonts w:hint="default" w:ascii="Times New Roman" w:hAnsi="Times New Roman" w:cs="Times New Roman"/>
                <w:lang w:val="en-US" w:eastAsia="zh-CN" w:bidi="ar"/>
              </w:rPr>
              <w:t>（14分）</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水利工程项目数量</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36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已完成的水利工程业绩</w:t>
            </w:r>
            <w:r>
              <w:rPr>
                <w:rStyle w:val="38"/>
                <w:rFonts w:eastAsia="仿宋_GB2312"/>
                <w:lang w:val="en-US" w:eastAsia="zh-CN" w:bidi="ar"/>
              </w:rPr>
              <w:t xml:space="preserve"> </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0.4分/项</w:t>
            </w:r>
          </w:p>
        </w:tc>
        <w:tc>
          <w:tcPr>
            <w:tcW w:w="1656"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（1）范围认定：业绩信息已在透明工程正式入库，且该申报业绩的质量监督机构是水行政主管部门或水行政主管部门委托的水利工程质量监督机构；</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认定材料：合同以及由项目法人出具的完工验收（合同工程验收）鉴定书（无完工验收鉴定书的，应同时提交完工质量监督报告或经质量监督机构核备完工内容的相关验收质量结论、项目完工验收报告和业主确认的完工证明；完工竣工合并验收的以竣工验收鉴定书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（3）时间以完工验收（合同工程验收）鉴定书或完工质量监督报告中明确的完工时间为准；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（4）经核查发现申报业绩不实的，该项业绩不得分并罚扣1分，扣分持续6个月。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水利工程合同额</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 xml:space="preserve">已完成的水利工程合同额 </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总承包一级及以上资质企业，累计合同额满1000万元得0.5分，每增加1000万元加0.5分；总承包二级及以下、专业承包资质企业，累计合同额满300万元得0.5分，每增加300万元加0.5分。</w:t>
            </w:r>
          </w:p>
        </w:tc>
        <w:tc>
          <w:tcPr>
            <w:tcW w:w="1656" w:type="pct"/>
            <w:vMerge w:val="continue"/>
            <w:tcBorders>
              <w:top w:val="single" w:color="000000" w:sz="4" w:space="0"/>
              <w:left w:val="single" w:color="000000" w:sz="4" w:space="0"/>
              <w:bottom w:val="nil"/>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2"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专业技术力量</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水利水电工程、机电工程专业注册建造师</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总承包一级及以上资质企业，计0.1分/人；总承包二级及以下、专业承包资质企业，计0.5分/人。</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（1）证明材料：在本单位注册的有效证书；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（2）一人同时有多本证的，只计一次；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（3）若发生人员离职、证书注销等情况，企业未在1个月内及时更新，该人次信息不得分，且每人次罚扣1分，持续3个月。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人员行为</w:t>
            </w:r>
            <w:r>
              <w:rPr>
                <w:rStyle w:val="35"/>
                <w:rFonts w:hint="default" w:ascii="Times New Roman" w:hAnsi="Times New Roman" w:cs="Times New Roman"/>
                <w:lang w:val="en-US" w:eastAsia="zh-CN" w:bidi="ar"/>
              </w:rPr>
              <w:t>（15分）</w:t>
            </w:r>
          </w:p>
        </w:tc>
        <w:tc>
          <w:tcPr>
            <w:tcW w:w="2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单位从业人员信用情况</w:t>
            </w:r>
          </w:p>
        </w:tc>
        <w:tc>
          <w:tcPr>
            <w:tcW w:w="1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企业的法定代表人、直接责任人等因违反建设工程质量管理法律法规被行政处罚的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16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（1）从业人员行为与行政处罚决定书或生效判决书注明的企业相关联；</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（2）人员离职、退休等情况不影响计分时限；</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（3）时间以处罚时间和判决生效时间为准。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企业的法定代表人、直接责任人等因违反建设工程质量管理法律法规被追究刑事责任的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企业的法定代表人、直接责任人等因违反安全生产管理法律法规被行政处罚的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企业的法定代表人、直接责任人等因违反安全生产管理法律法规，被追究刑事责任的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投标活动中企业的法定代表人、直接责任人等因违反招标投标法律法规被行政处罚的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投标活动中企业的法定代表人、直接责任人等因违反招标投标法律法规被追究刑事责任的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技术引领（4分）</w:t>
            </w:r>
          </w:p>
        </w:tc>
        <w:tc>
          <w:tcPr>
            <w:tcW w:w="2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水利优质工程</w:t>
            </w:r>
          </w:p>
        </w:tc>
        <w:tc>
          <w:tcPr>
            <w:tcW w:w="1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36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评价时间向前追溯5年范围内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国家优质工程奖、中国建设工程鲁班奖、中国土木工程詹天佑奖、中国水利优质工程（大禹）奖</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2分/项</w:t>
            </w:r>
          </w:p>
        </w:tc>
        <w:tc>
          <w:tcPr>
            <w:tcW w:w="16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（1）同一项目多次获奖，按最高奖项计分，不累计得分；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（2）时间以获奖证书或获奖文件注明时间为准；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（3）经核查发现申报信息不实的，该项不得分并罚扣2分，扣分持续6个月。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省级优质工程奖：如钱江杯等</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1.5分/项</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地市级优质工程奖：如西湖杯、它山堰杯等</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水利建设相关技术标准、发明专利</w:t>
            </w:r>
          </w:p>
        </w:tc>
        <w:tc>
          <w:tcPr>
            <w:tcW w:w="1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主编国家、行业标准</w:t>
            </w:r>
          </w:p>
        </w:tc>
        <w:tc>
          <w:tcPr>
            <w:tcW w:w="10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16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（1）时间以标准发布时间和工法证书颁发时间为准；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（2）证明材料包括标准封面及本单位主编或参编页面以及全国标准信息公共服务平台、全国团体信息标准平台等查询页面截图；工法证书；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（3）水利建设相关技术标准范围以水利部门官网提供的标准查询为准；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（4）工法申报时实践项目须为水利项目；</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（5）发明、实用新型专利证明材料为相关专利证书；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（6）经核查发现申报信息不实的，该项不得分并罚扣1分，扣分持续6个月。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0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参编国家、行业标准，主编地方、团体标准</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0.8分/项</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参编地方、团体标准</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获得省级及以上水利工程相关的工法、发明、实用新型专利</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工程项目管理数字化</w:t>
            </w:r>
          </w:p>
        </w:tc>
        <w:tc>
          <w:tcPr>
            <w:tcW w:w="17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水利工程项目数字化管理应用</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165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（1）水利工程项目管理数字化应与“透明工程”实时共享，有机贯通工程进度、计量与支付、质量评定等主要业务；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（2）已完工的水利工程不再计列。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2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市场行为</w:t>
            </w:r>
          </w:p>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行政监督检查（10分）</w:t>
            </w:r>
          </w:p>
        </w:tc>
        <w:tc>
          <w:tcPr>
            <w:tcW w:w="2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行政监督</w:t>
            </w:r>
          </w:p>
        </w:tc>
        <w:tc>
          <w:tcPr>
            <w:tcW w:w="1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被各级水行政主管部门、水利质量安全监督机构作出约谈、情况通报、责令改正等行政处理意见</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时间以行政文书发出日期为准。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被各级水行政主管部门作出警告、通报批评、罚款、没收违法所得、没收非法财务、暂扣许可证件等行政处罚意见</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16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（1）时间以行政处罚决定文书发出日期为准；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（2）行政处罚信息通过浙江省一体化数字资源系统（IRS）共享获取。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被各级水行政主管部门作出吊销许可证件、降低资质等级、责令关闭、责令停产停业、限制开展生产经营活动、限制从业、不得申请行政许可等行政处罚意见</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被水行政主管部门以外的执法部门作出行政处罚意见</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招投标监</w:t>
            </w:r>
            <w:r>
              <w:rPr>
                <w:rFonts w:hint="default" w:ascii="Times New Roman" w:hAnsi="Times New Roman" w:eastAsia="仿宋_GB2312" w:cs="Times New Roman"/>
                <w:b/>
                <w:bCs/>
                <w:i w:val="0"/>
                <w:iCs w:val="0"/>
                <w:color w:val="000000"/>
                <w:w w:val="96"/>
                <w:kern w:val="0"/>
                <w:sz w:val="22"/>
                <w:szCs w:val="22"/>
                <w:u w:val="none"/>
                <w:lang w:val="en-US" w:eastAsia="zh-CN" w:bidi="ar"/>
              </w:rPr>
              <w:t>管(15分)</w:t>
            </w:r>
          </w:p>
        </w:tc>
        <w:tc>
          <w:tcPr>
            <w:tcW w:w="2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投标行为</w:t>
            </w:r>
          </w:p>
        </w:tc>
        <w:tc>
          <w:tcPr>
            <w:tcW w:w="1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36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评标过程中被评标委员会认定为低于成本价报价的，投标人无法说明低价合理性的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（2）信息追溯时间以评标报告时间为准。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中标候选人公示期间违反招标文件不得放弃中标的约定而放弃中标的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-2.5分/次</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（2）信息追溯时间以招投标书面情况报告时间为准。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64" w:type="pct"/>
            <w:vMerge w:val="continue"/>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中标通知书公告发出后放弃中标资格，无正当理由拒绝签订书面合同或中标人未按招标文件约定的时间和要求提供履约保函或保证金的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-5分/次</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（2）信息追溯时间以中标通知书发出30天为准。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64" w:type="pct"/>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被查实恶意虚假举报的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1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时间以被认定为恶意举报时间为准。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64" w:type="pct"/>
            <w:vMerge w:val="continue"/>
            <w:tcBorders>
              <w:left w:val="single" w:color="000000" w:sz="4" w:space="0"/>
              <w:right w:val="single" w:color="000000" w:sz="4" w:space="0"/>
            </w:tcBorders>
            <w:shd w:val="clear" w:color="auto" w:fill="auto"/>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9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省招投标智慧监管监督系统预警信息查实的</w:t>
            </w:r>
          </w:p>
        </w:tc>
        <w:tc>
          <w:tcPr>
            <w:tcW w:w="10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-0.5分/次</w:t>
            </w:r>
          </w:p>
        </w:tc>
        <w:tc>
          <w:tcPr>
            <w:tcW w:w="165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（1）扣分从预警查实之日起，持续1个月；</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（2）该项最高扣3分。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64"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标后履约评价(32分）</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质量监督</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36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评价时的前四个季度</w:t>
            </w:r>
          </w:p>
        </w:tc>
        <w:tc>
          <w:tcPr>
            <w:tcW w:w="9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在建项目施工现场评价</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宋体" w:cs="Times New Roman"/>
                <w:i/>
                <w:color w:val="000000"/>
                <w:kern w:val="2"/>
                <w:sz w:val="22"/>
                <w:szCs w:val="22"/>
                <w:u w:val="none"/>
                <w:lang w:bidi="ar"/>
              </w:rPr>
              <w:t>S=</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kern w:val="2"/>
                      <w:sz w:val="22"/>
                      <w:szCs w:val="22"/>
                      <w:u w:val="none"/>
                      <w:lang w:val="en-US" w:bidi="ar-SA"/>
                    </w:rPr>
                  </m:ctrlPr>
                </m:fPr>
                <m:num>
                  <m:r>
                    <m:rPr/>
                    <w:rPr>
                      <w:rFonts w:hint="default" w:ascii="Cambria Math" w:hAnsi="Cambria Math" w:cs="Times New Roman"/>
                      <w:color w:val="000000"/>
                      <w:kern w:val="2"/>
                      <w:sz w:val="22"/>
                      <w:szCs w:val="22"/>
                      <w:u w:val="none"/>
                      <w:lang w:val="en-US" w:eastAsia="zh-CN" w:bidi="ar-SA"/>
                    </w:rPr>
                    <m:t>1</m:t>
                  </m:r>
                  <m:ctrlPr>
                    <w:rPr>
                      <w:rFonts w:hint="default" w:ascii="Cambria Math" w:hAnsi="Cambria Math" w:cs="Times New Roman"/>
                      <w:i/>
                      <w:iCs w:val="0"/>
                      <w:color w:val="000000"/>
                      <w:kern w:val="2"/>
                      <w:sz w:val="22"/>
                      <w:szCs w:val="22"/>
                      <w:u w:val="none"/>
                      <w:lang w:val="en-US" w:bidi="ar-SA"/>
                    </w:rPr>
                  </m:ctrlPr>
                </m:num>
                <m:den>
                  <m:r>
                    <m:rPr/>
                    <w:rPr>
                      <w:rFonts w:hint="default" w:ascii="Cambria Math" w:hAnsi="Cambria Math" w:cs="Times New Roman"/>
                      <w:color w:val="000000"/>
                      <w:kern w:val="2"/>
                      <w:sz w:val="22"/>
                      <w:szCs w:val="22"/>
                      <w:u w:val="none"/>
                      <w:lang w:val="en-US" w:eastAsia="zh-CN" w:bidi="ar-SA"/>
                    </w:rPr>
                    <m:t>n</m:t>
                  </m:r>
                  <m:ctrlPr>
                    <w:rPr>
                      <w:rFonts w:hint="default" w:ascii="Cambria Math" w:hAnsi="Cambria Math" w:cs="Times New Roman"/>
                      <w:i/>
                      <w:iCs w:val="0"/>
                      <w:color w:val="000000"/>
                      <w:kern w:val="2"/>
                      <w:sz w:val="22"/>
                      <w:szCs w:val="22"/>
                      <w:u w:val="none"/>
                      <w:lang w:val="en-US" w:bidi="ar-SA"/>
                    </w:rPr>
                  </m:ctrlPr>
                </m:den>
              </m:f>
              <m:nary>
                <m:naryPr>
                  <m:chr m:val="∑"/>
                  <m:limLoc m:val="undOvr"/>
                  <m:ctrlPr>
                    <w:rPr>
                      <w:rFonts w:hint="default" w:ascii="Cambria Math" w:hAnsi="Cambria Math" w:cs="Times New Roman"/>
                      <w:i/>
                      <w:iCs w:val="0"/>
                      <w:color w:val="000000"/>
                      <w:kern w:val="2"/>
                      <w:sz w:val="22"/>
                      <w:szCs w:val="22"/>
                      <w:u w:val="none"/>
                      <w:lang w:val="en-US" w:bidi="ar-SA"/>
                    </w:rPr>
                  </m:ctrlPr>
                </m:naryPr>
                <m:sub>
                  <m:r>
                    <m:rPr/>
                    <w:rPr>
                      <w:rFonts w:hint="default" w:ascii="Cambria Math" w:hAnsi="Cambria Math" w:cs="Times New Roman"/>
                      <w:color w:val="000000"/>
                      <w:kern w:val="2"/>
                      <w:sz w:val="22"/>
                      <w:szCs w:val="22"/>
                      <w:u w:val="none"/>
                      <w:lang w:val="en-US" w:eastAsia="zh-CN" w:bidi="ar-SA"/>
                    </w:rPr>
                    <m:t>i=1</m:t>
                  </m:r>
                  <m:ctrlPr>
                    <w:rPr>
                      <w:rFonts w:hint="default" w:ascii="Cambria Math" w:hAnsi="Cambria Math" w:cs="Times New Roman"/>
                      <w:i/>
                      <w:iCs w:val="0"/>
                      <w:color w:val="000000"/>
                      <w:kern w:val="2"/>
                      <w:sz w:val="22"/>
                      <w:szCs w:val="22"/>
                      <w:u w:val="none"/>
                      <w:lang w:val="en-US" w:bidi="ar-SA"/>
                    </w:rPr>
                  </m:ctrlPr>
                </m:sub>
                <m:sup>
                  <m:r>
                    <m:rPr/>
                    <w:rPr>
                      <w:rFonts w:hint="default" w:ascii="Cambria Math" w:hAnsi="Cambria Math" w:cs="Times New Roman"/>
                      <w:color w:val="000000"/>
                      <w:kern w:val="2"/>
                      <w:sz w:val="22"/>
                      <w:szCs w:val="22"/>
                      <w:u w:val="none"/>
                      <w:lang w:val="en-US" w:eastAsia="zh-CN" w:bidi="ar-SA"/>
                    </w:rPr>
                    <m:t>n</m:t>
                  </m:r>
                  <m:ctrlPr>
                    <w:rPr>
                      <w:rFonts w:hint="default" w:ascii="Cambria Math" w:hAnsi="Cambria Math" w:cs="Times New Roman"/>
                      <w:i/>
                      <w:iCs w:val="0"/>
                      <w:color w:val="000000"/>
                      <w:kern w:val="2"/>
                      <w:sz w:val="22"/>
                      <w:szCs w:val="22"/>
                      <w:u w:val="none"/>
                      <w:lang w:val="en-US" w:bidi="ar-SA"/>
                    </w:rPr>
                  </m:ctrlPr>
                </m:sup>
                <m:e>
                  <m:sSub>
                    <m:sSubPr>
                      <m:ctrlPr>
                        <w:rPr>
                          <w:rFonts w:hint="default" w:ascii="Cambria Math" w:hAnsi="Cambria Math" w:cs="Times New Roman"/>
                          <w:i/>
                          <w:iCs w:val="0"/>
                          <w:color w:val="000000"/>
                          <w:kern w:val="2"/>
                          <w:sz w:val="22"/>
                          <w:szCs w:val="22"/>
                          <w:u w:val="none"/>
                          <w:lang w:val="en-US" w:bidi="ar-SA"/>
                        </w:rPr>
                      </m:ctrlPr>
                    </m:sSubPr>
                    <m:e>
                      <m:r>
                        <m:rPr/>
                        <w:rPr>
                          <w:rFonts w:hint="default" w:ascii="Cambria Math" w:hAnsi="Cambria Math" w:cs="Times New Roman"/>
                          <w:color w:val="000000"/>
                          <w:kern w:val="2"/>
                          <w:sz w:val="22"/>
                          <w:szCs w:val="22"/>
                          <w:u w:val="none"/>
                          <w:lang w:val="en-US" w:eastAsia="zh-CN" w:bidi="ar-SA"/>
                        </w:rPr>
                        <m:t>l</m:t>
                      </m:r>
                      <m:ctrlPr>
                        <w:rPr>
                          <w:rFonts w:hint="default" w:ascii="Cambria Math" w:hAnsi="Cambria Math" w:cs="Times New Roman"/>
                          <w:i/>
                          <w:iCs w:val="0"/>
                          <w:color w:val="000000"/>
                          <w:kern w:val="2"/>
                          <w:sz w:val="22"/>
                          <w:szCs w:val="22"/>
                          <w:u w:val="none"/>
                          <w:lang w:val="en-US" w:bidi="ar-SA"/>
                        </w:rPr>
                      </m:ctrlPr>
                    </m:e>
                    <m:sub>
                      <m:r>
                        <m:rPr/>
                        <w:rPr>
                          <w:rFonts w:hint="default" w:ascii="Cambria Math" w:hAnsi="Cambria Math" w:cs="Times New Roman"/>
                          <w:color w:val="000000"/>
                          <w:kern w:val="2"/>
                          <w:sz w:val="22"/>
                          <w:szCs w:val="22"/>
                          <w:u w:val="none"/>
                          <w:lang w:val="en-US" w:eastAsia="zh-CN" w:bidi="ar-SA"/>
                        </w:rPr>
                        <m:t>i</m:t>
                      </m:r>
                      <m:ctrlPr>
                        <w:rPr>
                          <w:rFonts w:hint="default" w:ascii="Cambria Math" w:hAnsi="Cambria Math" w:cs="Times New Roman"/>
                          <w:i/>
                          <w:iCs w:val="0"/>
                          <w:color w:val="000000"/>
                          <w:kern w:val="2"/>
                          <w:sz w:val="22"/>
                          <w:szCs w:val="22"/>
                          <w:u w:val="none"/>
                          <w:lang w:val="en-US" w:bidi="ar-SA"/>
                        </w:rPr>
                      </m:ctrlPr>
                    </m:sub>
                  </m:sSub>
                  <m:ctrlPr>
                    <w:rPr>
                      <w:rFonts w:hint="default" w:ascii="Cambria Math" w:hAnsi="Cambria Math" w:cs="Times New Roman"/>
                      <w:i/>
                      <w:iCs w:val="0"/>
                      <w:color w:val="000000"/>
                      <w:kern w:val="2"/>
                      <w:sz w:val="22"/>
                      <w:szCs w:val="22"/>
                      <w:u w:val="none"/>
                      <w:lang w:val="en-US" w:bidi="ar-SA"/>
                    </w:rPr>
                  </m:ctrlPr>
                </m:e>
              </m:nary>
            </m:oMath>
          </w:p>
        </w:tc>
        <w:tc>
          <w:tcPr>
            <w:tcW w:w="16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（1）四个季度指评价时间的前四个季度，季度截止日期至季末月30或31日；</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（2）li是本企业在浙江省内前四个季度的项目每次质量监督发现问题扣分，pi是本企业在浙江省内前四个季度的项目每次安全监督发现问题扣分；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（3）n是该市场主体在浙江省内项目前四个季度被质量安全监督次数。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264" w:type="pct"/>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安全监督</w:t>
            </w: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left"/>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宋体" w:cs="Times New Roman"/>
                <w:i/>
                <w:iCs w:val="0"/>
                <w:color w:val="000000"/>
                <w:sz w:val="22"/>
                <w:szCs w:val="22"/>
                <w:u w:val="none"/>
                <w:lang w:val="en-US" w:eastAsia="zh-CN" w:bidi="ar"/>
              </w:rPr>
              <w:t>S=</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sz w:val="22"/>
                      <w:szCs w:val="22"/>
                      <w:u w:val="none"/>
                      <w:lang w:val="en-US" w:bidi="ar-SA"/>
                    </w:rPr>
                  </m:ctrlPr>
                </m:fPr>
                <m:num>
                  <m:r>
                    <m:rPr/>
                    <w:rPr>
                      <w:rFonts w:hint="default" w:ascii="Cambria Math" w:hAnsi="Cambria Math" w:cs="Times New Roman"/>
                      <w:color w:val="000000"/>
                      <w:sz w:val="22"/>
                      <w:szCs w:val="22"/>
                      <w:u w:val="none"/>
                      <w:lang w:val="en-US" w:eastAsia="zh-CN" w:bidi="ar-SA"/>
                    </w:rPr>
                    <m:t>1</m:t>
                  </m:r>
                  <m:ctrlPr>
                    <w:rPr>
                      <w:rFonts w:hint="default" w:ascii="Cambria Math" w:hAnsi="Cambria Math" w:cs="Times New Roman"/>
                      <w:i/>
                      <w:iCs w:val="0"/>
                      <w:color w:val="000000"/>
                      <w:sz w:val="22"/>
                      <w:szCs w:val="22"/>
                      <w:u w:val="none"/>
                      <w:lang w:val="en-US" w:bidi="ar-SA"/>
                    </w:rPr>
                  </m:ctrlPr>
                </m:num>
                <m:den>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den>
              </m:f>
              <m:nary>
                <m:naryPr>
                  <m:chr m:val="∑"/>
                  <m:limLoc m:val="undOvr"/>
                  <m:ctrlPr>
                    <w:rPr>
                      <w:rFonts w:hint="default" w:ascii="Cambria Math" w:hAnsi="Cambria Math" w:cs="Times New Roman"/>
                      <w:i/>
                      <w:iCs w:val="0"/>
                      <w:color w:val="000000"/>
                      <w:sz w:val="22"/>
                      <w:szCs w:val="22"/>
                      <w:u w:val="none"/>
                      <w:lang w:val="en-US" w:bidi="ar-SA"/>
                    </w:rPr>
                  </m:ctrlPr>
                </m:naryPr>
                <m:sub>
                  <m:r>
                    <m:rPr/>
                    <w:rPr>
                      <w:rFonts w:hint="default" w:ascii="Cambria Math" w:hAnsi="Cambria Math" w:cs="Times New Roman"/>
                      <w:color w:val="000000"/>
                      <w:sz w:val="22"/>
                      <w:szCs w:val="22"/>
                      <w:u w:val="none"/>
                      <w:lang w:val="en-US" w:eastAsia="zh-CN" w:bidi="ar-SA"/>
                    </w:rPr>
                    <m:t>i=1</m:t>
                  </m:r>
                  <m:ctrlPr>
                    <w:rPr>
                      <w:rFonts w:hint="default" w:ascii="Cambria Math" w:hAnsi="Cambria Math" w:cs="Times New Roman"/>
                      <w:i/>
                      <w:iCs w:val="0"/>
                      <w:color w:val="000000"/>
                      <w:sz w:val="22"/>
                      <w:szCs w:val="22"/>
                      <w:u w:val="none"/>
                      <w:lang w:val="en-US" w:bidi="ar-SA"/>
                    </w:rPr>
                  </m:ctrlPr>
                </m:sub>
                <m:sup>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sup>
                <m:e>
                  <m:sSub>
                    <m:sSubPr>
                      <m:ctrlPr>
                        <w:rPr>
                          <w:rFonts w:hint="default" w:ascii="Cambria Math" w:hAnsi="Cambria Math" w:cs="Times New Roman"/>
                          <w:i/>
                          <w:iCs w:val="0"/>
                          <w:color w:val="000000"/>
                          <w:sz w:val="22"/>
                          <w:szCs w:val="22"/>
                          <w:u w:val="none"/>
                          <w:lang w:val="en-US" w:bidi="ar-SA"/>
                        </w:rPr>
                      </m:ctrlPr>
                    </m:sSubPr>
                    <m:e>
                      <m:r>
                        <m:rPr/>
                        <w:rPr>
                          <w:rFonts w:hint="default" w:ascii="Cambria Math" w:hAnsi="Cambria Math" w:cs="Times New Roman"/>
                          <w:color w:val="000000"/>
                          <w:sz w:val="22"/>
                          <w:szCs w:val="22"/>
                          <w:u w:val="none"/>
                          <w:lang w:val="en-US" w:eastAsia="zh-CN" w:bidi="ar-SA"/>
                        </w:rPr>
                        <m:t>p</m:t>
                      </m:r>
                      <m:ctrlPr>
                        <w:rPr>
                          <w:rFonts w:hint="default" w:ascii="Cambria Math" w:hAnsi="Cambria Math" w:cs="Times New Roman"/>
                          <w:i/>
                          <w:iCs w:val="0"/>
                          <w:color w:val="000000"/>
                          <w:sz w:val="22"/>
                          <w:szCs w:val="22"/>
                          <w:u w:val="none"/>
                          <w:lang w:val="en-US" w:bidi="ar-SA"/>
                        </w:rPr>
                      </m:ctrlPr>
                    </m:e>
                    <m:sub>
                      <m:r>
                        <m:rPr/>
                        <w:rPr>
                          <w:rFonts w:hint="default" w:ascii="Cambria Math" w:hAnsi="Cambria Math" w:cs="Times New Roman"/>
                          <w:color w:val="000000"/>
                          <w:sz w:val="22"/>
                          <w:szCs w:val="22"/>
                          <w:u w:val="none"/>
                          <w:lang w:val="en-US" w:eastAsia="zh-CN" w:bidi="ar-SA"/>
                        </w:rPr>
                        <m:t>i</m:t>
                      </m:r>
                      <m:ctrlPr>
                        <w:rPr>
                          <w:rFonts w:hint="default" w:ascii="Cambria Math" w:hAnsi="Cambria Math" w:cs="Times New Roman"/>
                          <w:i/>
                          <w:iCs w:val="0"/>
                          <w:color w:val="000000"/>
                          <w:sz w:val="22"/>
                          <w:szCs w:val="22"/>
                          <w:u w:val="none"/>
                          <w:lang w:val="en-US" w:bidi="ar-SA"/>
                        </w:rPr>
                      </m:ctrlPr>
                    </m:sub>
                  </m:sSub>
                  <m:ctrlPr>
                    <w:rPr>
                      <w:rFonts w:hint="default" w:ascii="Cambria Math" w:hAnsi="Cambria Math" w:cs="Times New Roman"/>
                      <w:i/>
                      <w:iCs w:val="0"/>
                      <w:color w:val="000000"/>
                      <w:sz w:val="22"/>
                      <w:szCs w:val="22"/>
                      <w:u w:val="none"/>
                      <w:lang w:val="en-US" w:bidi="ar-SA"/>
                    </w:rPr>
                  </m:ctrlPr>
                </m:e>
              </m:nary>
            </m:oMath>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64" w:type="pct"/>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重点岗位人员履职</w:t>
            </w:r>
          </w:p>
        </w:tc>
        <w:tc>
          <w:tcPr>
            <w:tcW w:w="1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36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评价时间向前追溯6个月范围内</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重点岗位人员发生变更的</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16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（1）纳入信用评价的重点岗位人员包括工程总承包项目负责人、技术负责人和施工项目负责人、技术负责人；</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（2）重点岗位人员以项目法人在透明工程填报信息为准，项目法人填报时需填写招投文件或合同对人员要求的相关内容、变更理由等；</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（3）变更和更换指人员与中标通知书明确的或合同中签订的不一致的，变更以水利质量监督机构核查通过为准；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（4）在各类检查、抽查、举报核查或质量监督活动发现人员变更、更换问题和现场履职不到位问题的，每次发现按人次进行扣分；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（5）日常考勤记录为“透明工程”监测统计的重点岗位人员考勤情况。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64" w:type="pct"/>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监督检查发现施工企业擅自更换重点岗位人员</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64" w:type="pct"/>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监督检查发现施工企业更换的重点岗位人员资格低于合同约定条件</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165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64" w:type="pct"/>
            <w:vMerge w:val="continue"/>
            <w:tcBorders>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监督检查发现重点岗位人员现场履职不到位</w:t>
            </w:r>
          </w:p>
        </w:tc>
        <w:tc>
          <w:tcPr>
            <w:tcW w:w="109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-0.5分/人次</w:t>
            </w:r>
          </w:p>
        </w:tc>
        <w:tc>
          <w:tcPr>
            <w:tcW w:w="1656" w:type="pct"/>
            <w:vMerge w:val="continue"/>
            <w:tcBorders>
              <w:top w:val="single" w:color="000000" w:sz="4" w:space="0"/>
              <w:left w:val="single" w:color="000000" w:sz="4" w:space="0"/>
              <w:bottom w:val="single" w:color="auto"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64"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78"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重点岗位人员日常考勤记录不满足每月合同约定天数</w:t>
            </w:r>
          </w:p>
        </w:tc>
        <w:tc>
          <w:tcPr>
            <w:tcW w:w="10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每月出勤率</w:t>
            </w:r>
            <w:r>
              <w:rPr>
                <w:rStyle w:val="38"/>
                <w:rFonts w:eastAsia="仿宋_GB2312"/>
                <w:lang w:val="en-US" w:eastAsia="zh-CN" w:bidi="ar"/>
              </w:rPr>
              <w:t>˂</w:t>
            </w:r>
            <w:r>
              <w:rPr>
                <w:rStyle w:val="39"/>
                <w:rFonts w:hint="default" w:ascii="Times New Roman" w:hAnsi="Times New Roman" w:cs="Times New Roman"/>
                <w:lang w:val="en-US" w:eastAsia="zh-CN" w:bidi="ar"/>
              </w:rPr>
              <w:t>50%,扣0.5分/月.人次；50%</w:t>
            </w:r>
            <w:r>
              <w:rPr>
                <w:rStyle w:val="40"/>
                <w:rFonts w:ascii="Times New Roman" w:hAnsi="Times New Roman" w:eastAsia="仿宋_GB2312" w:cs="Times New Roman"/>
                <w:lang w:val="en-US" w:eastAsia="zh-CN" w:bidi="ar"/>
              </w:rPr>
              <w:t>≤</w:t>
            </w:r>
            <w:r>
              <w:rPr>
                <w:rStyle w:val="39"/>
                <w:rFonts w:hint="default" w:ascii="Times New Roman" w:hAnsi="Times New Roman" w:cs="Times New Roman"/>
                <w:lang w:val="en-US" w:eastAsia="zh-CN" w:bidi="ar"/>
              </w:rPr>
              <w:t>出勤率</w:t>
            </w:r>
            <w:r>
              <w:rPr>
                <w:rStyle w:val="38"/>
                <w:rFonts w:eastAsia="仿宋_GB2312"/>
                <w:lang w:val="en-US" w:eastAsia="zh-CN" w:bidi="ar"/>
              </w:rPr>
              <w:t>˂</w:t>
            </w:r>
            <w:r>
              <w:rPr>
                <w:rStyle w:val="39"/>
                <w:rFonts w:hint="default" w:ascii="Times New Roman" w:hAnsi="Times New Roman" w:cs="Times New Roman"/>
                <w:lang w:val="en-US" w:eastAsia="zh-CN" w:bidi="ar"/>
              </w:rPr>
              <w:t>60%,扣0.4分/月.人次；60%≤出勤率</w:t>
            </w:r>
            <w:r>
              <w:rPr>
                <w:rStyle w:val="38"/>
                <w:rFonts w:eastAsia="仿宋_GB2312"/>
                <w:lang w:val="en-US" w:eastAsia="zh-CN" w:bidi="ar"/>
              </w:rPr>
              <w:t>˂</w:t>
            </w:r>
            <w:r>
              <w:rPr>
                <w:rStyle w:val="39"/>
                <w:rFonts w:hint="default" w:ascii="Times New Roman" w:hAnsi="Times New Roman" w:cs="Times New Roman"/>
                <w:lang w:val="en-US" w:eastAsia="zh-CN" w:bidi="ar"/>
              </w:rPr>
              <w:t>70%,扣0.3分/月.人次；70%≤出勤率</w:t>
            </w:r>
            <w:r>
              <w:rPr>
                <w:rStyle w:val="38"/>
                <w:rFonts w:eastAsia="仿宋_GB2312"/>
                <w:lang w:val="en-US" w:eastAsia="zh-CN" w:bidi="ar"/>
              </w:rPr>
              <w:t>˂</w:t>
            </w:r>
            <w:r>
              <w:rPr>
                <w:rStyle w:val="39"/>
                <w:rFonts w:hint="default" w:ascii="Times New Roman" w:hAnsi="Times New Roman" w:cs="Times New Roman"/>
                <w:lang w:val="en-US" w:eastAsia="zh-CN" w:bidi="ar"/>
              </w:rPr>
              <w:t>80%,扣0.2分/月.人次；80%≤出勤率</w:t>
            </w:r>
            <w:r>
              <w:rPr>
                <w:rStyle w:val="38"/>
                <w:rFonts w:eastAsia="仿宋_GB2312"/>
                <w:lang w:val="en-US" w:eastAsia="zh-CN" w:bidi="ar"/>
              </w:rPr>
              <w:t>˂</w:t>
            </w:r>
            <w:r>
              <w:rPr>
                <w:rStyle w:val="39"/>
                <w:rFonts w:hint="default" w:ascii="Times New Roman" w:hAnsi="Times New Roman" w:cs="Times New Roman"/>
                <w:lang w:val="en-US" w:eastAsia="zh-CN" w:bidi="ar"/>
              </w:rPr>
              <w:t>90%,扣0.1分/月.人次。</w:t>
            </w:r>
          </w:p>
        </w:tc>
        <w:tc>
          <w:tcPr>
            <w:tcW w:w="1656"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64"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合同工期</w:t>
            </w:r>
          </w:p>
        </w:tc>
        <w:tc>
          <w:tcPr>
            <w:tcW w:w="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36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9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因施工企业原因导致工期延长超过15%</w:t>
            </w:r>
          </w:p>
        </w:tc>
        <w:tc>
          <w:tcPr>
            <w:tcW w:w="10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-0.5分/次</w:t>
            </w:r>
          </w:p>
        </w:tc>
        <w:tc>
          <w:tcPr>
            <w:tcW w:w="16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以水行政主管部门认定情况为准。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64"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合同金额</w:t>
            </w:r>
          </w:p>
        </w:tc>
        <w:tc>
          <w:tcPr>
            <w:tcW w:w="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因施工企业原因导致合同金额变更超15%；虚报工程量或结算造价被审计提出问题整改的</w:t>
            </w:r>
          </w:p>
        </w:tc>
        <w:tc>
          <w:tcPr>
            <w:tcW w:w="10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-0.5分/次</w:t>
            </w:r>
          </w:p>
        </w:tc>
        <w:tc>
          <w:tcPr>
            <w:tcW w:w="1656"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64" w:type="pct"/>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农民工工资管理</w:t>
            </w:r>
          </w:p>
        </w:tc>
        <w:tc>
          <w:tcPr>
            <w:tcW w:w="1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农民工工资等各类投诉举报信息经查实，且核查时尚未处置完成的</w:t>
            </w:r>
          </w:p>
        </w:tc>
        <w:tc>
          <w:tcPr>
            <w:tcW w:w="10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1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以水行政主管部门查实认定情况为准。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64" w:type="pct"/>
            <w:vMerge w:val="continue"/>
            <w:tcBorders>
              <w:top w:val="single" w:color="auto" w:sz="4" w:space="0"/>
              <w:left w:val="single" w:color="000000" w:sz="4" w:space="0"/>
              <w:bottom w:val="single" w:color="auto" w:sz="4" w:space="0"/>
              <w:right w:val="single" w:color="auto" w:sz="4" w:space="0"/>
            </w:tcBorders>
            <w:shd w:val="clear" w:color="auto" w:fill="auto"/>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256"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2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项目法人履约评价</w:t>
            </w:r>
          </w:p>
        </w:tc>
        <w:tc>
          <w:tcPr>
            <w:tcW w:w="17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369"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评价时的前四个季度</w:t>
            </w:r>
          </w:p>
        </w:tc>
        <w:tc>
          <w:tcPr>
            <w:tcW w:w="91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经水行政主管部门确认的项目法人履约评价</w:t>
            </w:r>
          </w:p>
        </w:tc>
        <w:tc>
          <w:tcPr>
            <w:tcW w:w="10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color w:val="000000"/>
                <w:kern w:val="2"/>
                <w:sz w:val="22"/>
                <w:szCs w:val="22"/>
                <w:u w:val="none"/>
                <w:lang w:bidi="ar"/>
              </w:rPr>
              <w:t>S</w:t>
            </w:r>
            <w:r>
              <w:rPr>
                <w:rFonts w:hint="default" w:ascii="Times New Roman" w:hAnsi="Times New Roman" w:eastAsia="宋体" w:cs="Times New Roman"/>
                <w:i/>
                <w:iCs w:val="0"/>
                <w:color w:val="000000"/>
                <w:sz w:val="22"/>
                <w:szCs w:val="22"/>
                <w:u w:val="none"/>
                <w:lang w:val="en-US" w:eastAsia="zh-CN" w:bidi="ar"/>
              </w:rPr>
              <w:t>=</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sz w:val="22"/>
                      <w:szCs w:val="22"/>
                      <w:u w:val="none"/>
                      <w:lang w:val="en-US" w:bidi="ar-SA"/>
                    </w:rPr>
                  </m:ctrlPr>
                </m:fPr>
                <m:num>
                  <m:r>
                    <m:rPr/>
                    <w:rPr>
                      <w:rFonts w:hint="default" w:ascii="Cambria Math" w:hAnsi="Cambria Math" w:cs="Times New Roman"/>
                      <w:color w:val="000000"/>
                      <w:sz w:val="22"/>
                      <w:szCs w:val="22"/>
                      <w:u w:val="none"/>
                      <w:lang w:val="en-US" w:eastAsia="zh-CN" w:bidi="ar-SA"/>
                    </w:rPr>
                    <m:t>1</m:t>
                  </m:r>
                  <m:ctrlPr>
                    <w:rPr>
                      <w:rFonts w:hint="default" w:ascii="Cambria Math" w:hAnsi="Cambria Math" w:cs="Times New Roman"/>
                      <w:i/>
                      <w:iCs w:val="0"/>
                      <w:color w:val="000000"/>
                      <w:sz w:val="22"/>
                      <w:szCs w:val="22"/>
                      <w:u w:val="none"/>
                      <w:lang w:val="en-US" w:bidi="ar-SA"/>
                    </w:rPr>
                  </m:ctrlPr>
                </m:num>
                <m:den>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den>
              </m:f>
              <m:nary>
                <m:naryPr>
                  <m:chr m:val="∑"/>
                  <m:limLoc m:val="undOvr"/>
                  <m:ctrlPr>
                    <w:rPr>
                      <w:rFonts w:hint="default" w:ascii="Cambria Math" w:hAnsi="Cambria Math" w:cs="Times New Roman"/>
                      <w:i/>
                      <w:iCs w:val="0"/>
                      <w:color w:val="000000"/>
                      <w:sz w:val="22"/>
                      <w:szCs w:val="22"/>
                      <w:u w:val="none"/>
                      <w:lang w:val="en-US" w:bidi="ar-SA"/>
                    </w:rPr>
                  </m:ctrlPr>
                </m:naryPr>
                <m:sub>
                  <m:r>
                    <m:rPr/>
                    <w:rPr>
                      <w:rFonts w:hint="default" w:ascii="Cambria Math" w:hAnsi="Cambria Math" w:cs="Times New Roman"/>
                      <w:color w:val="000000"/>
                      <w:sz w:val="22"/>
                      <w:szCs w:val="22"/>
                      <w:u w:val="none"/>
                      <w:lang w:val="en-US" w:eastAsia="zh-CN" w:bidi="ar-SA"/>
                    </w:rPr>
                    <m:t>i=1</m:t>
                  </m:r>
                  <m:ctrlPr>
                    <w:rPr>
                      <w:rFonts w:hint="default" w:ascii="Cambria Math" w:hAnsi="Cambria Math" w:cs="Times New Roman"/>
                      <w:i/>
                      <w:iCs w:val="0"/>
                      <w:color w:val="000000"/>
                      <w:sz w:val="22"/>
                      <w:szCs w:val="22"/>
                      <w:u w:val="none"/>
                      <w:lang w:val="en-US" w:bidi="ar-SA"/>
                    </w:rPr>
                  </m:ctrlPr>
                </m:sub>
                <m:sup>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sup>
                <m:e>
                  <m:sSub>
                    <m:sSubPr>
                      <m:ctrlPr>
                        <w:rPr>
                          <w:rFonts w:hint="default" w:ascii="Cambria Math" w:hAnsi="Cambria Math" w:cs="Times New Roman"/>
                          <w:i/>
                          <w:iCs w:val="0"/>
                          <w:color w:val="000000"/>
                          <w:sz w:val="22"/>
                          <w:szCs w:val="22"/>
                          <w:u w:val="none"/>
                          <w:lang w:val="en-US" w:bidi="ar-SA"/>
                        </w:rPr>
                      </m:ctrlPr>
                    </m:sSubPr>
                    <m:e>
                      <m:r>
                        <m:rPr/>
                        <w:rPr>
                          <w:rFonts w:hint="default" w:ascii="Cambria Math" w:hAnsi="Cambria Math" w:cs="Times New Roman"/>
                          <w:color w:val="000000"/>
                          <w:sz w:val="22"/>
                          <w:szCs w:val="22"/>
                          <w:u w:val="none"/>
                          <w:lang w:val="en-US" w:eastAsia="zh-CN" w:bidi="ar-SA"/>
                        </w:rPr>
                        <m:t>q</m:t>
                      </m:r>
                      <m:ctrlPr>
                        <w:rPr>
                          <w:rFonts w:hint="default" w:ascii="Cambria Math" w:hAnsi="Cambria Math" w:cs="Times New Roman"/>
                          <w:i/>
                          <w:iCs w:val="0"/>
                          <w:color w:val="000000"/>
                          <w:sz w:val="22"/>
                          <w:szCs w:val="22"/>
                          <w:u w:val="none"/>
                          <w:lang w:val="en-US" w:bidi="ar-SA"/>
                        </w:rPr>
                      </m:ctrlPr>
                    </m:e>
                    <m:sub>
                      <m:r>
                        <m:rPr/>
                        <w:rPr>
                          <w:rFonts w:hint="default" w:ascii="Cambria Math" w:hAnsi="Cambria Math" w:cs="Times New Roman"/>
                          <w:color w:val="000000"/>
                          <w:sz w:val="22"/>
                          <w:szCs w:val="22"/>
                          <w:u w:val="none"/>
                          <w:lang w:val="en-US" w:eastAsia="zh-CN" w:bidi="ar-SA"/>
                        </w:rPr>
                        <m:t>i</m:t>
                      </m:r>
                      <m:ctrlPr>
                        <w:rPr>
                          <w:rFonts w:hint="default" w:ascii="Cambria Math" w:hAnsi="Cambria Math" w:cs="Times New Roman"/>
                          <w:i/>
                          <w:iCs w:val="0"/>
                          <w:color w:val="000000"/>
                          <w:sz w:val="22"/>
                          <w:szCs w:val="22"/>
                          <w:u w:val="none"/>
                          <w:lang w:val="en-US" w:bidi="ar-SA"/>
                        </w:rPr>
                      </m:ctrlPr>
                    </m:sub>
                  </m:sSub>
                  <m:ctrlPr>
                    <w:rPr>
                      <w:rFonts w:hint="default" w:ascii="Cambria Math" w:hAnsi="Cambria Math" w:cs="Times New Roman"/>
                      <w:i/>
                      <w:iCs w:val="0"/>
                      <w:color w:val="000000"/>
                      <w:sz w:val="22"/>
                      <w:szCs w:val="22"/>
                      <w:u w:val="none"/>
                      <w:lang w:val="en-US" w:bidi="ar-SA"/>
                    </w:rPr>
                  </m:ctrlPr>
                </m:e>
              </m:nary>
            </m:oMath>
          </w:p>
        </w:tc>
        <w:tc>
          <w:tcPr>
            <w:tcW w:w="165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（1）前四个季度评价结果作为市场主体本季度在建项目履约评价计分依据；</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（2）qi是本企业在浙江省内前四个季度的所有项目履约评价扣分情况；</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（3）n是浙江省内前四个季度的项目被评价次数；</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（4）未经项目水行政主管部门确认的分值不计入。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264"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w:t>
            </w:r>
          </w:p>
        </w:tc>
        <w:tc>
          <w:tcPr>
            <w:tcW w:w="25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公共信用评价(10分)</w:t>
            </w:r>
          </w:p>
        </w:tc>
        <w:tc>
          <w:tcPr>
            <w:tcW w:w="267"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w:t>
            </w:r>
          </w:p>
        </w:tc>
        <w:tc>
          <w:tcPr>
            <w:tcW w:w="178"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287"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国家信用中心最新结果</w:t>
            </w:r>
          </w:p>
        </w:tc>
        <w:tc>
          <w:tcPr>
            <w:tcW w:w="109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公共信用评价得分*权重系数</w:t>
            </w:r>
          </w:p>
        </w:tc>
        <w:tc>
          <w:tcPr>
            <w:tcW w:w="165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（1）该项分值通过共享国家信用中心结果得到；</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（2）缺少共享数据的按中位数赋分。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2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总分</w:t>
            </w:r>
          </w:p>
        </w:tc>
        <w:tc>
          <w:tcPr>
            <w:tcW w:w="473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100分</w:t>
            </w:r>
          </w:p>
        </w:tc>
      </w:tr>
    </w:tbl>
    <w:p>
      <w:pPr>
        <w:rPr>
          <w:rFonts w:hint="eastAsia" w:ascii="Times New Roman" w:hAnsi="Times New Roman" w:eastAsia="仿宋" w:cs="Times New Roman"/>
          <w:b w:val="0"/>
          <w:bCs w:val="0"/>
          <w:color w:val="auto"/>
          <w:kern w:val="2"/>
          <w:sz w:val="32"/>
          <w:szCs w:val="32"/>
          <w:highlight w:val="none"/>
          <w:shd w:val="clear" w:color="auto" w:fill="FFFFFF"/>
          <w:lang w:eastAsia="zh-CN"/>
        </w:rPr>
      </w:pPr>
    </w:p>
    <w:p>
      <w:pPr>
        <w:rPr>
          <w:rFonts w:hint="eastAsia" w:ascii="Times New Roman" w:hAnsi="Times New Roman" w:eastAsia="仿宋" w:cs="Times New Roman"/>
          <w:b w:val="0"/>
          <w:bCs w:val="0"/>
          <w:color w:val="auto"/>
          <w:kern w:val="2"/>
          <w:sz w:val="32"/>
          <w:szCs w:val="32"/>
          <w:highlight w:val="none"/>
          <w:shd w:val="clear" w:color="auto" w:fill="FFFFFF"/>
          <w:lang w:eastAsia="zh-CN"/>
        </w:rPr>
      </w:pPr>
    </w:p>
    <w:p>
      <w:pPr>
        <w:rPr>
          <w:rFonts w:hint="eastAsia" w:ascii="Times New Roman" w:hAnsi="Times New Roman" w:eastAsia="仿宋" w:cs="Times New Roman"/>
          <w:b w:val="0"/>
          <w:bCs w:val="0"/>
          <w:color w:val="auto"/>
          <w:kern w:val="2"/>
          <w:sz w:val="32"/>
          <w:szCs w:val="32"/>
          <w:highlight w:val="none"/>
          <w:shd w:val="clear" w:color="auto" w:fill="FFFFFF"/>
          <w:lang w:eastAsia="zh-CN"/>
        </w:rPr>
      </w:pPr>
      <w:r>
        <w:rPr>
          <w:rFonts w:hint="eastAsia" w:ascii="Times New Roman" w:hAnsi="Times New Roman" w:eastAsia="仿宋" w:cs="Times New Roman"/>
          <w:b w:val="0"/>
          <w:bCs w:val="0"/>
          <w:color w:val="auto"/>
          <w:kern w:val="2"/>
          <w:sz w:val="32"/>
          <w:szCs w:val="32"/>
          <w:highlight w:val="none"/>
          <w:shd w:val="clear" w:color="auto" w:fill="FFFFFF"/>
          <w:lang w:eastAsia="zh-CN"/>
        </w:rPr>
        <w:br w:type="page"/>
      </w:r>
    </w:p>
    <w:p>
      <w:pPr>
        <w:jc w:val="center"/>
        <w:rPr>
          <w:rFonts w:hint="eastAsia" w:ascii="Times New Roman" w:hAnsi="Times New Roman" w:eastAsia="仿宋" w:cs="Times New Roman"/>
          <w:b w:val="0"/>
          <w:bCs w:val="0"/>
          <w:color w:val="auto"/>
          <w:kern w:val="2"/>
          <w:sz w:val="32"/>
          <w:szCs w:val="32"/>
          <w:highlight w:val="none"/>
          <w:shd w:val="clear" w:color="auto" w:fill="FFFFFF"/>
          <w:lang w:eastAsia="zh-CN"/>
        </w:rPr>
      </w:pPr>
      <w:r>
        <w:rPr>
          <w:rFonts w:hint="default" w:ascii="Times New Roman" w:hAnsi="Times New Roman" w:eastAsia="方正小标宋简体" w:cs="Times New Roman"/>
          <w:i w:val="0"/>
          <w:iCs w:val="0"/>
          <w:color w:val="000000"/>
          <w:kern w:val="0"/>
          <w:sz w:val="40"/>
          <w:szCs w:val="40"/>
          <w:u w:val="none"/>
          <w:lang w:val="en-US" w:eastAsia="zh-CN" w:bidi="ar"/>
        </w:rPr>
        <w:t>浙江省水利建设市场主体信用评价指标（设计单位）</w:t>
      </w:r>
    </w:p>
    <w:tbl>
      <w:tblPr>
        <w:tblStyle w:val="17"/>
        <w:tblW w:w="21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1150"/>
        <w:gridCol w:w="1140"/>
        <w:gridCol w:w="818"/>
        <w:gridCol w:w="1655"/>
        <w:gridCol w:w="4009"/>
        <w:gridCol w:w="4828"/>
        <w:gridCol w:w="7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一级指标</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二级指标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三级指标</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分值（分）</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 xml:space="preserve">计分时限         </w:t>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t>（信息有效性）</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计分项</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赋分标准</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履约能力</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企业状况(16分)</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水利工程项目数量</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4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已完成的水利工程业绩</w:t>
            </w:r>
          </w:p>
        </w:tc>
        <w:tc>
          <w:tcPr>
            <w:tcW w:w="48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0.4分/项</w:t>
            </w:r>
          </w:p>
        </w:tc>
        <w:tc>
          <w:tcPr>
            <w:tcW w:w="7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（1）范围认定：业绩信息已在透明工程正式入库，且该申报业绩的质量监督机构是水行政主管部门或水行政主管部门委托的水利工程质量监督机构；</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认定材料：初步设计项目需提供合同以及初步设计批复文件（含批复、核准、行政许可）；施工图设计项目，提供合同以及完工验收鉴定书（无完工验收鉴定书的，应同时提交完工质量监督报告或经质量监督机构核备完工内容的相关验收质量结论、项目完工验收报告和业主确认的完工证明；完工竣工合并验收的以竣工验收鉴定书为准）；                                                                                                          （3）初步设计以初步设计批复文件时间为准，施工图设计以完工验收鉴定书或水利工程质量监督报告中明确的完工日期时间为准，若工程内容中同时包含初步设计和施工图设计内容的，以完工验收鉴定书或工程质量（安全）监督报告中明确的完工日期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（4）经核查发现申报业绩不实的，该项业绩不得分并每发现一项罚扣1分，扣分持续6个月。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水利工程合同额</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已完成的水利工程合同额</w:t>
            </w:r>
          </w:p>
        </w:tc>
        <w:tc>
          <w:tcPr>
            <w:tcW w:w="48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甲级资质企业，累计合同额满300万元得0.5分，每增加300万元加0.5分;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乙级及以下资质企业，累计合同额满100万元得0.5分，每增加100万元加0.5分。</w:t>
            </w: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专业技术力量</w:t>
            </w: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40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持有水利职称证书人数</w:t>
            </w:r>
          </w:p>
        </w:tc>
        <w:tc>
          <w:tcPr>
            <w:tcW w:w="48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甲级资质企业，正高级工程师0.3分/人，高级工程师0.2分/人，工程师0.1分/人;</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乙级及以下资质企业，正高级工程师1分/人，高级工程师0.5分/人，工程师0.2分/人。</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（1）证明材料：职称证书或任职资格文件，</w:t>
            </w:r>
            <w:r>
              <w:rPr>
                <w:rFonts w:hint="default" w:ascii="Times New Roman" w:hAnsi="Times New Roman" w:eastAsia="仿宋_GB2312" w:cs="Times New Roman"/>
                <w:i w:val="0"/>
                <w:iCs w:val="0"/>
                <w:color w:val="000000"/>
                <w:kern w:val="0"/>
                <w:sz w:val="22"/>
                <w:szCs w:val="22"/>
                <w:highlight w:val="none"/>
                <w:u w:val="none"/>
                <w:lang w:val="en-US" w:eastAsia="zh-CN" w:bidi="ar"/>
              </w:rPr>
              <w:t>及缴纳社保参保证明</w:t>
            </w:r>
            <w:r>
              <w:rPr>
                <w:rFonts w:hint="default" w:ascii="Times New Roman" w:hAnsi="Times New Roman"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（2）一人同时有多本证的，只计一次；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（3）若发生人员离职、证书注销等情况，企业未在1个月内及时更新，该人次信息不得分，且每人次罚扣1分，持续3个月。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持有注册土木工程师（水利水电规划、水工结构、地质、水土保持、移民）、注册电气工程师、注册造价工程师等资质证书人数</w:t>
            </w:r>
          </w:p>
        </w:tc>
        <w:tc>
          <w:tcPr>
            <w:tcW w:w="48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满足甲级资质最低要求得2分，每增加1人加0.2分;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满足乙级及以下资质最低要求得2分，每增加1人加0.5分。</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（1）证明材料：在本单位注册的有效证书；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（2）一人同时有多本证的，只计一次；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（3）若发生人员离职、证书注销等情况，企业未在1个月内及时更新，该人次信息不得分，且每人次罚扣1分，持续3个月；</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（4）最低要求依据住建部颁发《工程设计资质标准》水利行业主要专业技术人员配备情况表。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人员行为(15分)</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单位从业人员信用情况</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企业的法定代表人、直接责任人等因违反建设工程质量管理法律法规被行政处罚的</w:t>
            </w:r>
          </w:p>
        </w:tc>
        <w:tc>
          <w:tcPr>
            <w:tcW w:w="48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（1）从业人员行为与行政处罚决定书或生效判决书注明的企业相关联；</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（2）人员离职、退休等情况不影响计分时限；</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（3）时间以处罚时间和判决生效时间为准。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企业的法定代表人、直接责任人等因违反建设工程质量管理法律法规被追究刑事责任的</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企业的法定代表人、直接责任人等因违反安全生产管理法律法规被行政处罚的</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企业的法定代表人、直接责任人等因违反安全生产管理法律法规，被追究刑事责任的</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投标活动中企业的法定代表人、直接责任人等因违反招标投标法律法规被行政处罚的</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投标活动中企业的法定代表人、直接责任人等因违反招标投标法律法规被追究刑事责任的</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技术引领（12分）</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工程勘察设计奖项</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65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评价时间向前追溯5年范围内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全国优秀工程勘察设计奖、全国优秀水利水电工程勘测设计奖、国家优质工程奖、中国建设工程鲁班奖、中国土木工程詹天佑奖、中国水利优质工程（大禹）奖</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2分/项</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（1）同一项目多次获奖，按最高奖项计分，不累计得分；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（2）时间以获奖证书或获奖文件注明时间为准；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（3）经核查发现信息申报信息不实的，该项不得分并罚扣2分，扣分持续6个月。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left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省级优秀工程勘察设计奖、省级优质工程奖</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1.5分/项</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left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地市级优秀工程勘察设计奖、地市级优质工程奖</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科技创新情况</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655" w:type="dxa"/>
            <w:vMerge w:val="continue"/>
            <w:tcBorders>
              <w:left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发明、实用新型专利</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（1）发明、实用新型专利以专利证书注明时间为准；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（2）证明材料包括发明、实用新型专利证书；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（3）经核查发现申报信息不实的，该项不得分并罚扣1分，扣分持续6个月。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55" w:type="dxa"/>
            <w:vMerge w:val="continue"/>
            <w:tcBorders>
              <w:left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重点实验室或高新技术企业认证</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2分/项</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（1）重点实验室、高新技术企业证书均需在评价当期有效。</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（2）经核查发现申报信息不实的，该项不得分并罚扣2分，扣分持续6个月。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水利建设相关技术标准</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55" w:type="dxa"/>
            <w:vMerge w:val="continue"/>
            <w:tcBorders>
              <w:left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主编国家、行业标准</w:t>
            </w:r>
          </w:p>
        </w:tc>
        <w:tc>
          <w:tcPr>
            <w:tcW w:w="48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（1）时间以标准发布时间为准；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（2）证明材料包括标准封面及本单位主编或参编页面以及全国标准信息公共服务平台、全国团体信息标准平台等查询页面截图；</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（3）水利建设相关技术标准范围以水利部门官网提供的标准查询为准；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（4）经核查发现申报信息不实的，该项不得分并罚扣2分，扣分持续6个月。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left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参编国家、行业标准，主编地方、团体标准</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参编地方、团体标准</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0.3分/项</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体系认证</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655" w:type="dxa"/>
            <w:vMerge w:val="restart"/>
            <w:tcBorders>
              <w:top w:val="single" w:color="000000" w:sz="4" w:space="0"/>
              <w:left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40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三体系认证</w:t>
            </w:r>
          </w:p>
        </w:tc>
        <w:tc>
          <w:tcPr>
            <w:tcW w:w="48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（1）获得质量管理体系认证证书、环境管理体系认证证书、职业健康安全管理体系认证证书且在有效期的。</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（2）经核查发现申报信息不实的，该项不得分并罚扣1.5分，扣分持续6个月。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工程项目管理数字化</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水利工程项目数字化管理应用</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（1）水利工程项目管理数字化应与“透明工程”实时共享，有机贯通工程进度、计量与支付、质量评定等主要业务。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（2）已完工的水利工程不再计列。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left"/>
              <w:textAlignment w:val="top"/>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t>市场行为</w:t>
            </w: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行政监督检查(10分)</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行政监督</w:t>
            </w: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被各级水行政主管部门、水利质量安全监督机构作出约谈、情况通报、责令改正等行政处理意见</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时间以行政文书发出日期为准。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被各级水行政主管部门作出警告、通报批评、罚款、没收违法所得、没收非法财务、暂扣许可证件等行政处罚意见</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（1）时间以行政处罚决定文书发出日期为准。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（2）行政处罚信息通过浙江省一体化数字资源系统（IRS）共享获取。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被各级水行政主管部门作出吊销许可证件、降低资质等级、责令关闭、责令停产停业、限制开展生产经营活动、限制从业、不得申请行政许可等行政处罚意见</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被水行政主管部门以外的执法部门作出行政处罚意见</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招投标监管(15分)</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投标行为</w:t>
            </w: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评标过程中被评标委员会认定为低于成本价报价的，投标人无法说明低价合理性的</w:t>
            </w:r>
          </w:p>
        </w:tc>
        <w:tc>
          <w:tcPr>
            <w:tcW w:w="48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（2）信息追溯时间以评标报告时间为准。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中标候选人公示期间违反招标文件不得放弃中标的约定而放弃中标的</w:t>
            </w:r>
          </w:p>
        </w:tc>
        <w:tc>
          <w:tcPr>
            <w:tcW w:w="48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-2.5分/次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（2）信息追溯时间以招投标书面情况报告时间为准。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中标通知书公告发出后放弃中标资格，无正当理由拒绝签订书面合同或中标人未按招标文件约定的时间和要求提供履约保函或保证金的</w:t>
            </w:r>
          </w:p>
        </w:tc>
        <w:tc>
          <w:tcPr>
            <w:tcW w:w="48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-5分/次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（2）信息追溯时间以中标通知书发出30天为准。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被查实恶意虚假举报的</w:t>
            </w:r>
          </w:p>
        </w:tc>
        <w:tc>
          <w:tcPr>
            <w:tcW w:w="4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时间以被认定为恶意举报时间为准。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省招投标智慧监管监督系统预警信息查实的</w:t>
            </w:r>
          </w:p>
        </w:tc>
        <w:tc>
          <w:tcPr>
            <w:tcW w:w="48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-0.5分/次</w:t>
            </w:r>
          </w:p>
        </w:tc>
        <w:tc>
          <w:tcPr>
            <w:tcW w:w="7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（1）扣分从预警查实之日起，持续1个月；</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（2）该项最高扣3分。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标后履约监管(22分)</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质量监督</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评价时的前四个季度</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在建项目施工现场评价</w:t>
            </w:r>
          </w:p>
        </w:tc>
        <w:tc>
          <w:tcPr>
            <w:tcW w:w="48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宋体" w:cs="Times New Roman"/>
                <w:i/>
                <w:color w:val="000000"/>
                <w:kern w:val="2"/>
                <w:sz w:val="22"/>
                <w:szCs w:val="22"/>
                <w:u w:val="none"/>
                <w:lang w:bidi="ar"/>
              </w:rPr>
              <w:t>S=</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kern w:val="2"/>
                      <w:sz w:val="22"/>
                      <w:szCs w:val="22"/>
                      <w:u w:val="none"/>
                      <w:lang w:val="en-US" w:bidi="ar-SA"/>
                    </w:rPr>
                  </m:ctrlPr>
                </m:fPr>
                <m:num>
                  <m:r>
                    <m:rPr/>
                    <w:rPr>
                      <w:rFonts w:hint="default" w:ascii="Cambria Math" w:hAnsi="Cambria Math" w:cs="Times New Roman"/>
                      <w:color w:val="000000"/>
                      <w:kern w:val="2"/>
                      <w:sz w:val="22"/>
                      <w:szCs w:val="22"/>
                      <w:u w:val="none"/>
                      <w:lang w:val="en-US" w:eastAsia="zh-CN" w:bidi="ar-SA"/>
                    </w:rPr>
                    <m:t>1</m:t>
                  </m:r>
                  <m:ctrlPr>
                    <w:rPr>
                      <w:rFonts w:hint="default" w:ascii="Cambria Math" w:hAnsi="Cambria Math" w:cs="Times New Roman"/>
                      <w:i/>
                      <w:iCs w:val="0"/>
                      <w:color w:val="000000"/>
                      <w:kern w:val="2"/>
                      <w:sz w:val="22"/>
                      <w:szCs w:val="22"/>
                      <w:u w:val="none"/>
                      <w:lang w:val="en-US" w:bidi="ar-SA"/>
                    </w:rPr>
                  </m:ctrlPr>
                </m:num>
                <m:den>
                  <m:r>
                    <m:rPr/>
                    <w:rPr>
                      <w:rFonts w:hint="default" w:ascii="Cambria Math" w:hAnsi="Cambria Math" w:cs="Times New Roman"/>
                      <w:color w:val="000000"/>
                      <w:kern w:val="2"/>
                      <w:sz w:val="22"/>
                      <w:szCs w:val="22"/>
                      <w:u w:val="none"/>
                      <w:lang w:val="en-US" w:eastAsia="zh-CN" w:bidi="ar-SA"/>
                    </w:rPr>
                    <m:t>n</m:t>
                  </m:r>
                  <m:ctrlPr>
                    <w:rPr>
                      <w:rFonts w:hint="default" w:ascii="Cambria Math" w:hAnsi="Cambria Math" w:cs="Times New Roman"/>
                      <w:i/>
                      <w:iCs w:val="0"/>
                      <w:color w:val="000000"/>
                      <w:kern w:val="2"/>
                      <w:sz w:val="22"/>
                      <w:szCs w:val="22"/>
                      <w:u w:val="none"/>
                      <w:lang w:val="en-US" w:bidi="ar-SA"/>
                    </w:rPr>
                  </m:ctrlPr>
                </m:den>
              </m:f>
              <m:nary>
                <m:naryPr>
                  <m:chr m:val="∑"/>
                  <m:limLoc m:val="undOvr"/>
                  <m:ctrlPr>
                    <w:rPr>
                      <w:rFonts w:hint="default" w:ascii="Cambria Math" w:hAnsi="Cambria Math" w:cs="Times New Roman"/>
                      <w:i/>
                      <w:iCs w:val="0"/>
                      <w:color w:val="000000"/>
                      <w:kern w:val="2"/>
                      <w:sz w:val="22"/>
                      <w:szCs w:val="22"/>
                      <w:u w:val="none"/>
                      <w:lang w:val="en-US" w:bidi="ar-SA"/>
                    </w:rPr>
                  </m:ctrlPr>
                </m:naryPr>
                <m:sub>
                  <m:r>
                    <m:rPr/>
                    <w:rPr>
                      <w:rFonts w:hint="default" w:ascii="Cambria Math" w:hAnsi="Cambria Math" w:cs="Times New Roman"/>
                      <w:color w:val="000000"/>
                      <w:kern w:val="2"/>
                      <w:sz w:val="22"/>
                      <w:szCs w:val="22"/>
                      <w:u w:val="none"/>
                      <w:lang w:val="en-US" w:eastAsia="zh-CN" w:bidi="ar-SA"/>
                    </w:rPr>
                    <m:t>i=1</m:t>
                  </m:r>
                  <m:ctrlPr>
                    <w:rPr>
                      <w:rFonts w:hint="default" w:ascii="Cambria Math" w:hAnsi="Cambria Math" w:cs="Times New Roman"/>
                      <w:i/>
                      <w:iCs w:val="0"/>
                      <w:color w:val="000000"/>
                      <w:kern w:val="2"/>
                      <w:sz w:val="22"/>
                      <w:szCs w:val="22"/>
                      <w:u w:val="none"/>
                      <w:lang w:val="en-US" w:bidi="ar-SA"/>
                    </w:rPr>
                  </m:ctrlPr>
                </m:sub>
                <m:sup>
                  <m:r>
                    <m:rPr/>
                    <w:rPr>
                      <w:rFonts w:hint="default" w:ascii="Cambria Math" w:hAnsi="Cambria Math" w:cs="Times New Roman"/>
                      <w:color w:val="000000"/>
                      <w:kern w:val="2"/>
                      <w:sz w:val="22"/>
                      <w:szCs w:val="22"/>
                      <w:u w:val="none"/>
                      <w:lang w:val="en-US" w:eastAsia="zh-CN" w:bidi="ar-SA"/>
                    </w:rPr>
                    <m:t>n</m:t>
                  </m:r>
                  <m:ctrlPr>
                    <w:rPr>
                      <w:rFonts w:hint="default" w:ascii="Cambria Math" w:hAnsi="Cambria Math" w:cs="Times New Roman"/>
                      <w:i/>
                      <w:iCs w:val="0"/>
                      <w:color w:val="000000"/>
                      <w:kern w:val="2"/>
                      <w:sz w:val="22"/>
                      <w:szCs w:val="22"/>
                      <w:u w:val="none"/>
                      <w:lang w:val="en-US" w:bidi="ar-SA"/>
                    </w:rPr>
                  </m:ctrlPr>
                </m:sup>
                <m:e>
                  <m:sSub>
                    <m:sSubPr>
                      <m:ctrlPr>
                        <w:rPr>
                          <w:rFonts w:hint="default" w:ascii="Cambria Math" w:hAnsi="Cambria Math" w:cs="Times New Roman"/>
                          <w:i/>
                          <w:iCs w:val="0"/>
                          <w:color w:val="000000"/>
                          <w:kern w:val="2"/>
                          <w:sz w:val="22"/>
                          <w:szCs w:val="22"/>
                          <w:u w:val="none"/>
                          <w:lang w:val="en-US" w:bidi="ar-SA"/>
                        </w:rPr>
                      </m:ctrlPr>
                    </m:sSubPr>
                    <m:e>
                      <m:r>
                        <m:rPr/>
                        <w:rPr>
                          <w:rFonts w:hint="default" w:ascii="Cambria Math" w:hAnsi="Cambria Math" w:cs="Times New Roman"/>
                          <w:color w:val="000000"/>
                          <w:kern w:val="2"/>
                          <w:sz w:val="22"/>
                          <w:szCs w:val="22"/>
                          <w:u w:val="none"/>
                          <w:lang w:val="en-US" w:eastAsia="zh-CN" w:bidi="ar-SA"/>
                        </w:rPr>
                        <m:t>l</m:t>
                      </m:r>
                      <m:ctrlPr>
                        <w:rPr>
                          <w:rFonts w:hint="default" w:ascii="Cambria Math" w:hAnsi="Cambria Math" w:cs="Times New Roman"/>
                          <w:i/>
                          <w:iCs w:val="0"/>
                          <w:color w:val="000000"/>
                          <w:kern w:val="2"/>
                          <w:sz w:val="22"/>
                          <w:szCs w:val="22"/>
                          <w:u w:val="none"/>
                          <w:lang w:val="en-US" w:bidi="ar-SA"/>
                        </w:rPr>
                      </m:ctrlPr>
                    </m:e>
                    <m:sub>
                      <m:r>
                        <m:rPr/>
                        <w:rPr>
                          <w:rFonts w:hint="default" w:ascii="Cambria Math" w:hAnsi="Cambria Math" w:cs="Times New Roman"/>
                          <w:color w:val="000000"/>
                          <w:kern w:val="2"/>
                          <w:sz w:val="22"/>
                          <w:szCs w:val="22"/>
                          <w:u w:val="none"/>
                          <w:lang w:val="en-US" w:eastAsia="zh-CN" w:bidi="ar-SA"/>
                        </w:rPr>
                        <m:t>i</m:t>
                      </m:r>
                      <m:ctrlPr>
                        <w:rPr>
                          <w:rFonts w:hint="default" w:ascii="Cambria Math" w:hAnsi="Cambria Math" w:cs="Times New Roman"/>
                          <w:i/>
                          <w:iCs w:val="0"/>
                          <w:color w:val="000000"/>
                          <w:kern w:val="2"/>
                          <w:sz w:val="22"/>
                          <w:szCs w:val="22"/>
                          <w:u w:val="none"/>
                          <w:lang w:val="en-US" w:bidi="ar-SA"/>
                        </w:rPr>
                      </m:ctrlPr>
                    </m:sub>
                  </m:sSub>
                  <m:ctrlPr>
                    <w:rPr>
                      <w:rFonts w:hint="default" w:ascii="Cambria Math" w:hAnsi="Cambria Math" w:cs="Times New Roman"/>
                      <w:i/>
                      <w:iCs w:val="0"/>
                      <w:color w:val="000000"/>
                      <w:kern w:val="2"/>
                      <w:sz w:val="22"/>
                      <w:szCs w:val="22"/>
                      <w:u w:val="none"/>
                      <w:lang w:val="en-US" w:bidi="ar-SA"/>
                    </w:rPr>
                  </m:ctrlPr>
                </m:e>
              </m:nary>
            </m:oMath>
          </w:p>
        </w:tc>
        <w:tc>
          <w:tcPr>
            <w:tcW w:w="7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（1）四个季度指评价时间的前四个季度，季度截止日期至季末月30或31日；</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（2）li是本企业在浙江省内前四个季度的项目每次质量监督检查问题扣分，pi是本企业在浙江省内前四个季度的项目每次安全监督检查问题扣分；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（3）n是该市场主体在浙江省内项目前四个季度被检查次数。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安全监督</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宋体" w:cs="Times New Roman"/>
                <w:i/>
                <w:iCs w:val="0"/>
                <w:color w:val="000000"/>
                <w:sz w:val="22"/>
                <w:szCs w:val="22"/>
                <w:u w:val="none"/>
                <w:lang w:val="en-US" w:eastAsia="zh-CN" w:bidi="ar"/>
              </w:rPr>
              <w:t>S=</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sz w:val="22"/>
                      <w:szCs w:val="22"/>
                      <w:u w:val="none"/>
                      <w:lang w:val="en-US" w:bidi="ar-SA"/>
                    </w:rPr>
                  </m:ctrlPr>
                </m:fPr>
                <m:num>
                  <m:r>
                    <m:rPr/>
                    <w:rPr>
                      <w:rFonts w:hint="default" w:ascii="Cambria Math" w:hAnsi="Cambria Math" w:cs="Times New Roman"/>
                      <w:color w:val="000000"/>
                      <w:sz w:val="22"/>
                      <w:szCs w:val="22"/>
                      <w:u w:val="none"/>
                      <w:lang w:val="en-US" w:eastAsia="zh-CN" w:bidi="ar-SA"/>
                    </w:rPr>
                    <m:t>1</m:t>
                  </m:r>
                  <m:ctrlPr>
                    <w:rPr>
                      <w:rFonts w:hint="default" w:ascii="Cambria Math" w:hAnsi="Cambria Math" w:cs="Times New Roman"/>
                      <w:i/>
                      <w:iCs w:val="0"/>
                      <w:color w:val="000000"/>
                      <w:sz w:val="22"/>
                      <w:szCs w:val="22"/>
                      <w:u w:val="none"/>
                      <w:lang w:val="en-US" w:bidi="ar-SA"/>
                    </w:rPr>
                  </m:ctrlPr>
                </m:num>
                <m:den>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den>
              </m:f>
              <m:nary>
                <m:naryPr>
                  <m:chr m:val="∑"/>
                  <m:limLoc m:val="undOvr"/>
                  <m:ctrlPr>
                    <w:rPr>
                      <w:rFonts w:hint="default" w:ascii="Cambria Math" w:hAnsi="Cambria Math" w:cs="Times New Roman"/>
                      <w:i/>
                      <w:iCs w:val="0"/>
                      <w:color w:val="000000"/>
                      <w:sz w:val="22"/>
                      <w:szCs w:val="22"/>
                      <w:u w:val="none"/>
                      <w:lang w:val="en-US" w:bidi="ar-SA"/>
                    </w:rPr>
                  </m:ctrlPr>
                </m:naryPr>
                <m:sub>
                  <m:r>
                    <m:rPr/>
                    <w:rPr>
                      <w:rFonts w:hint="default" w:ascii="Cambria Math" w:hAnsi="Cambria Math" w:cs="Times New Roman"/>
                      <w:color w:val="000000"/>
                      <w:sz w:val="22"/>
                      <w:szCs w:val="22"/>
                      <w:u w:val="none"/>
                      <w:lang w:val="en-US" w:eastAsia="zh-CN" w:bidi="ar-SA"/>
                    </w:rPr>
                    <m:t>i=1</m:t>
                  </m:r>
                  <m:ctrlPr>
                    <w:rPr>
                      <w:rFonts w:hint="default" w:ascii="Cambria Math" w:hAnsi="Cambria Math" w:cs="Times New Roman"/>
                      <w:i/>
                      <w:iCs w:val="0"/>
                      <w:color w:val="000000"/>
                      <w:sz w:val="22"/>
                      <w:szCs w:val="22"/>
                      <w:u w:val="none"/>
                      <w:lang w:val="en-US" w:bidi="ar-SA"/>
                    </w:rPr>
                  </m:ctrlPr>
                </m:sub>
                <m:sup>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sup>
                <m:e>
                  <m:sSub>
                    <m:sSubPr>
                      <m:ctrlPr>
                        <w:rPr>
                          <w:rFonts w:hint="default" w:ascii="Cambria Math" w:hAnsi="Cambria Math" w:cs="Times New Roman"/>
                          <w:i/>
                          <w:iCs w:val="0"/>
                          <w:color w:val="000000"/>
                          <w:sz w:val="22"/>
                          <w:szCs w:val="22"/>
                          <w:u w:val="none"/>
                          <w:lang w:val="en-US" w:bidi="ar-SA"/>
                        </w:rPr>
                      </m:ctrlPr>
                    </m:sSubPr>
                    <m:e>
                      <m:r>
                        <m:rPr/>
                        <w:rPr>
                          <w:rFonts w:hint="default" w:ascii="Cambria Math" w:hAnsi="Cambria Math" w:cs="Times New Roman"/>
                          <w:color w:val="000000"/>
                          <w:sz w:val="22"/>
                          <w:szCs w:val="22"/>
                          <w:u w:val="none"/>
                          <w:lang w:val="en-US" w:eastAsia="zh-CN" w:bidi="ar-SA"/>
                        </w:rPr>
                        <m:t>p</m:t>
                      </m:r>
                      <m:ctrlPr>
                        <w:rPr>
                          <w:rFonts w:hint="default" w:ascii="Cambria Math" w:hAnsi="Cambria Math" w:cs="Times New Roman"/>
                          <w:i/>
                          <w:iCs w:val="0"/>
                          <w:color w:val="000000"/>
                          <w:sz w:val="22"/>
                          <w:szCs w:val="22"/>
                          <w:u w:val="none"/>
                          <w:lang w:val="en-US" w:bidi="ar-SA"/>
                        </w:rPr>
                      </m:ctrlPr>
                    </m:e>
                    <m:sub>
                      <m:r>
                        <m:rPr/>
                        <w:rPr>
                          <w:rFonts w:hint="default" w:ascii="Cambria Math" w:hAnsi="Cambria Math" w:cs="Times New Roman"/>
                          <w:color w:val="000000"/>
                          <w:sz w:val="22"/>
                          <w:szCs w:val="22"/>
                          <w:u w:val="none"/>
                          <w:lang w:val="en-US" w:eastAsia="zh-CN" w:bidi="ar-SA"/>
                        </w:rPr>
                        <m:t>i</m:t>
                      </m:r>
                      <m:ctrlPr>
                        <w:rPr>
                          <w:rFonts w:hint="default" w:ascii="Cambria Math" w:hAnsi="Cambria Math" w:cs="Times New Roman"/>
                          <w:i/>
                          <w:iCs w:val="0"/>
                          <w:color w:val="000000"/>
                          <w:sz w:val="22"/>
                          <w:szCs w:val="22"/>
                          <w:u w:val="none"/>
                          <w:lang w:val="en-US" w:bidi="ar-SA"/>
                        </w:rPr>
                      </m:ctrlPr>
                    </m:sub>
                  </m:sSub>
                  <m:ctrlPr>
                    <w:rPr>
                      <w:rFonts w:hint="default" w:ascii="Cambria Math" w:hAnsi="Cambria Math" w:cs="Times New Roman"/>
                      <w:i/>
                      <w:iCs w:val="0"/>
                      <w:color w:val="000000"/>
                      <w:sz w:val="22"/>
                      <w:szCs w:val="22"/>
                      <w:u w:val="none"/>
                      <w:lang w:val="en-US" w:bidi="ar-SA"/>
                    </w:rPr>
                  </m:ctrlPr>
                </m:e>
              </m:nary>
            </m:oMath>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重点岗位人员履职</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评价时间向前追溯6个月范围内</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重点岗位人员发生变更的</w:t>
            </w:r>
          </w:p>
        </w:tc>
        <w:tc>
          <w:tcPr>
            <w:tcW w:w="48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（1）纳入信用评价的重点岗位人员包括工程总承包项目负责人、技术负责人和设计项目负责人；</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（2）重点岗位人员以项目法人在透明工程填报信息为准，项目法人填报时需填写招投文件或合同对人员要求的相关内容、变更理由等；</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（3）变更和更换指人员与中标通知书明确的或合同中签订的不一致的，变更以水利质量监督机构核查通过为准；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（4）在各类检查、抽查、举报核查或质量监督活动发现人员变更、更换问题和现场履职不到位问题的，每次发现按人次进行扣分。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监督检查发现设计企业擅自更换重点岗位人员</w:t>
            </w:r>
          </w:p>
        </w:tc>
        <w:tc>
          <w:tcPr>
            <w:tcW w:w="48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监督检查发现企业更换的重点岗位人员资格低于合同约定的条件</w:t>
            </w:r>
          </w:p>
        </w:tc>
        <w:tc>
          <w:tcPr>
            <w:tcW w:w="4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合同工期</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4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因设计原因导致工期延长超过15％</w:t>
            </w:r>
          </w:p>
        </w:tc>
        <w:tc>
          <w:tcPr>
            <w:tcW w:w="4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-0.5分/次</w:t>
            </w:r>
          </w:p>
        </w:tc>
        <w:tc>
          <w:tcPr>
            <w:tcW w:w="7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以属地水行政主管部门认定情况为准。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项目法人履约评价</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评价时的前四个季度</w:t>
            </w:r>
          </w:p>
        </w:tc>
        <w:tc>
          <w:tcPr>
            <w:tcW w:w="400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经水行政主管部门确认的项目法人履约评价</w:t>
            </w:r>
          </w:p>
        </w:tc>
        <w:tc>
          <w:tcPr>
            <w:tcW w:w="48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宋体" w:cs="Times New Roman"/>
                <w:i/>
                <w:color w:val="000000"/>
                <w:kern w:val="2"/>
                <w:sz w:val="22"/>
                <w:szCs w:val="22"/>
                <w:u w:val="none"/>
                <w:lang w:bidi="ar"/>
              </w:rPr>
              <w:t>S</w:t>
            </w:r>
            <w:r>
              <w:rPr>
                <w:rFonts w:hint="default" w:ascii="Times New Roman" w:hAnsi="Times New Roman" w:eastAsia="宋体" w:cs="Times New Roman"/>
                <w:i/>
                <w:iCs w:val="0"/>
                <w:color w:val="000000"/>
                <w:sz w:val="22"/>
                <w:szCs w:val="22"/>
                <w:u w:val="none"/>
                <w:lang w:val="en-US" w:eastAsia="zh-CN" w:bidi="ar"/>
              </w:rPr>
              <w:t>=</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sz w:val="22"/>
                      <w:szCs w:val="22"/>
                      <w:u w:val="none"/>
                      <w:lang w:val="en-US" w:bidi="ar-SA"/>
                    </w:rPr>
                  </m:ctrlPr>
                </m:fPr>
                <m:num>
                  <m:r>
                    <m:rPr/>
                    <w:rPr>
                      <w:rFonts w:hint="default" w:ascii="Cambria Math" w:hAnsi="Cambria Math" w:cs="Times New Roman"/>
                      <w:color w:val="000000"/>
                      <w:sz w:val="22"/>
                      <w:szCs w:val="22"/>
                      <w:u w:val="none"/>
                      <w:lang w:val="en-US" w:eastAsia="zh-CN" w:bidi="ar-SA"/>
                    </w:rPr>
                    <m:t>1</m:t>
                  </m:r>
                  <m:ctrlPr>
                    <w:rPr>
                      <w:rFonts w:hint="default" w:ascii="Cambria Math" w:hAnsi="Cambria Math" w:cs="Times New Roman"/>
                      <w:i/>
                      <w:iCs w:val="0"/>
                      <w:color w:val="000000"/>
                      <w:sz w:val="22"/>
                      <w:szCs w:val="22"/>
                      <w:u w:val="none"/>
                      <w:lang w:val="en-US" w:bidi="ar-SA"/>
                    </w:rPr>
                  </m:ctrlPr>
                </m:num>
                <m:den>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den>
              </m:f>
              <m:nary>
                <m:naryPr>
                  <m:chr m:val="∑"/>
                  <m:limLoc m:val="undOvr"/>
                  <m:ctrlPr>
                    <w:rPr>
                      <w:rFonts w:hint="default" w:ascii="Cambria Math" w:hAnsi="Cambria Math" w:cs="Times New Roman"/>
                      <w:i/>
                      <w:iCs w:val="0"/>
                      <w:color w:val="000000"/>
                      <w:sz w:val="22"/>
                      <w:szCs w:val="22"/>
                      <w:u w:val="none"/>
                      <w:lang w:val="en-US" w:bidi="ar-SA"/>
                    </w:rPr>
                  </m:ctrlPr>
                </m:naryPr>
                <m:sub>
                  <m:r>
                    <m:rPr/>
                    <w:rPr>
                      <w:rFonts w:hint="default" w:ascii="Cambria Math" w:hAnsi="Cambria Math" w:cs="Times New Roman"/>
                      <w:color w:val="000000"/>
                      <w:sz w:val="22"/>
                      <w:szCs w:val="22"/>
                      <w:u w:val="none"/>
                      <w:lang w:val="en-US" w:eastAsia="zh-CN" w:bidi="ar-SA"/>
                    </w:rPr>
                    <m:t>i=1</m:t>
                  </m:r>
                  <m:ctrlPr>
                    <w:rPr>
                      <w:rFonts w:hint="default" w:ascii="Cambria Math" w:hAnsi="Cambria Math" w:cs="Times New Roman"/>
                      <w:i/>
                      <w:iCs w:val="0"/>
                      <w:color w:val="000000"/>
                      <w:sz w:val="22"/>
                      <w:szCs w:val="22"/>
                      <w:u w:val="none"/>
                      <w:lang w:val="en-US" w:bidi="ar-SA"/>
                    </w:rPr>
                  </m:ctrlPr>
                </m:sub>
                <m:sup>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sup>
                <m:e>
                  <m:sSub>
                    <m:sSubPr>
                      <m:ctrlPr>
                        <w:rPr>
                          <w:rFonts w:hint="default" w:ascii="Cambria Math" w:hAnsi="Cambria Math" w:cs="Times New Roman"/>
                          <w:i/>
                          <w:iCs w:val="0"/>
                          <w:color w:val="000000"/>
                          <w:sz w:val="22"/>
                          <w:szCs w:val="22"/>
                          <w:u w:val="none"/>
                          <w:lang w:val="en-US" w:bidi="ar-SA"/>
                        </w:rPr>
                      </m:ctrlPr>
                    </m:sSubPr>
                    <m:e>
                      <m:r>
                        <m:rPr/>
                        <w:rPr>
                          <w:rFonts w:hint="default" w:ascii="Cambria Math" w:hAnsi="Cambria Math" w:cs="Times New Roman"/>
                          <w:color w:val="000000"/>
                          <w:sz w:val="22"/>
                          <w:szCs w:val="22"/>
                          <w:u w:val="none"/>
                          <w:lang w:val="en-US" w:eastAsia="zh-CN" w:bidi="ar-SA"/>
                        </w:rPr>
                        <m:t>q</m:t>
                      </m:r>
                      <m:ctrlPr>
                        <w:rPr>
                          <w:rFonts w:hint="default" w:ascii="Cambria Math" w:hAnsi="Cambria Math" w:cs="Times New Roman"/>
                          <w:i/>
                          <w:iCs w:val="0"/>
                          <w:color w:val="000000"/>
                          <w:sz w:val="22"/>
                          <w:szCs w:val="22"/>
                          <w:u w:val="none"/>
                          <w:lang w:val="en-US" w:bidi="ar-SA"/>
                        </w:rPr>
                      </m:ctrlPr>
                    </m:e>
                    <m:sub>
                      <m:r>
                        <m:rPr/>
                        <w:rPr>
                          <w:rFonts w:hint="default" w:ascii="Cambria Math" w:hAnsi="Cambria Math" w:cs="Times New Roman"/>
                          <w:color w:val="000000"/>
                          <w:sz w:val="22"/>
                          <w:szCs w:val="22"/>
                          <w:u w:val="none"/>
                          <w:lang w:val="en-US" w:eastAsia="zh-CN" w:bidi="ar-SA"/>
                        </w:rPr>
                        <m:t>i</m:t>
                      </m:r>
                      <m:ctrlPr>
                        <w:rPr>
                          <w:rFonts w:hint="default" w:ascii="Cambria Math" w:hAnsi="Cambria Math" w:cs="Times New Roman"/>
                          <w:i/>
                          <w:iCs w:val="0"/>
                          <w:color w:val="000000"/>
                          <w:sz w:val="22"/>
                          <w:szCs w:val="22"/>
                          <w:u w:val="none"/>
                          <w:lang w:val="en-US" w:bidi="ar-SA"/>
                        </w:rPr>
                      </m:ctrlPr>
                    </m:sub>
                  </m:sSub>
                  <m:ctrlPr>
                    <w:rPr>
                      <w:rFonts w:hint="default" w:ascii="Cambria Math" w:hAnsi="Cambria Math" w:cs="Times New Roman"/>
                      <w:i/>
                      <w:iCs w:val="0"/>
                      <w:color w:val="000000"/>
                      <w:sz w:val="22"/>
                      <w:szCs w:val="22"/>
                      <w:u w:val="none"/>
                      <w:lang w:val="en-US" w:bidi="ar-SA"/>
                    </w:rPr>
                  </m:ctrlPr>
                </m:e>
              </m:nary>
            </m:oMath>
          </w:p>
        </w:tc>
        <w:tc>
          <w:tcPr>
            <w:tcW w:w="7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（1）前四个季度评价结果作为市场主体本季度在建项目履约评价计分依据；</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（2）qi是本企业在浙江省内前四个季度的所有项目履约评价扣分情况；</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（3）n是浙江省内前四个季度的项目被评价次数；</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（4）未经项目水行政主管部门确认的分值不计入。</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00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公共信用评价(10分)</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56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国家信用中心最新结果</w:t>
            </w:r>
          </w:p>
        </w:tc>
        <w:tc>
          <w:tcPr>
            <w:tcW w:w="48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公共信用评价得分*权重系数</w:t>
            </w:r>
          </w:p>
        </w:tc>
        <w:tc>
          <w:tcPr>
            <w:tcW w:w="7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（1）该项分值通过共享国家信用中心结果得到；</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（2）缺少共享数据的按中位数赋分。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6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6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11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总分</w:t>
            </w:r>
          </w:p>
        </w:tc>
        <w:tc>
          <w:tcPr>
            <w:tcW w:w="20740"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100分</w:t>
            </w:r>
          </w:p>
        </w:tc>
      </w:tr>
    </w:tbl>
    <w:p>
      <w:pPr>
        <w:rPr>
          <w:rFonts w:hint="eastAsia" w:ascii="Times New Roman" w:hAnsi="Times New Roman" w:eastAsia="仿宋" w:cs="Times New Roman"/>
          <w:b w:val="0"/>
          <w:bCs w:val="0"/>
          <w:color w:val="auto"/>
          <w:kern w:val="2"/>
          <w:sz w:val="32"/>
          <w:szCs w:val="32"/>
          <w:highlight w:val="none"/>
          <w:shd w:val="clear" w:color="auto" w:fill="FFFFFF"/>
          <w:lang w:eastAsia="zh-CN"/>
        </w:rPr>
      </w:pPr>
    </w:p>
    <w:p>
      <w:pPr>
        <w:rPr>
          <w:rFonts w:hint="eastAsia" w:ascii="Times New Roman" w:hAnsi="Times New Roman" w:eastAsia="仿宋" w:cs="Times New Roman"/>
          <w:b w:val="0"/>
          <w:bCs w:val="0"/>
          <w:color w:val="auto"/>
          <w:kern w:val="2"/>
          <w:sz w:val="32"/>
          <w:szCs w:val="32"/>
          <w:highlight w:val="none"/>
          <w:shd w:val="clear" w:color="auto" w:fill="FFFFFF"/>
          <w:lang w:eastAsia="zh-CN"/>
        </w:rPr>
      </w:pPr>
      <w:r>
        <w:rPr>
          <w:rFonts w:hint="eastAsia" w:ascii="Times New Roman" w:hAnsi="Times New Roman" w:eastAsia="仿宋" w:cs="Times New Roman"/>
          <w:b w:val="0"/>
          <w:bCs w:val="0"/>
          <w:color w:val="auto"/>
          <w:kern w:val="2"/>
          <w:sz w:val="32"/>
          <w:szCs w:val="32"/>
          <w:highlight w:val="none"/>
          <w:shd w:val="clear" w:color="auto" w:fill="FFFFFF"/>
          <w:lang w:eastAsia="zh-CN"/>
        </w:rPr>
        <w:br w:type="page"/>
      </w:r>
    </w:p>
    <w:p>
      <w:pPr>
        <w:jc w:val="center"/>
        <w:rPr>
          <w:rFonts w:hint="eastAsia" w:ascii="Times New Roman" w:hAnsi="Times New Roman" w:eastAsia="仿宋" w:cs="Times New Roman"/>
          <w:b w:val="0"/>
          <w:bCs w:val="0"/>
          <w:color w:val="auto"/>
          <w:kern w:val="2"/>
          <w:sz w:val="32"/>
          <w:szCs w:val="32"/>
          <w:highlight w:val="none"/>
          <w:shd w:val="clear" w:color="auto" w:fill="FFFFFF"/>
          <w:lang w:eastAsia="zh-CN"/>
        </w:rPr>
      </w:pPr>
      <w:r>
        <w:rPr>
          <w:rFonts w:hint="default" w:ascii="Times New Roman" w:hAnsi="Times New Roman" w:eastAsia="方正小标宋简体" w:cs="Times New Roman"/>
          <w:i w:val="0"/>
          <w:iCs w:val="0"/>
          <w:color w:val="000000"/>
          <w:kern w:val="0"/>
          <w:sz w:val="40"/>
          <w:szCs w:val="40"/>
          <w:u w:val="none"/>
          <w:lang w:val="en-US" w:eastAsia="zh-CN" w:bidi="ar"/>
        </w:rPr>
        <w:t>浙江省水利建设市场主体信用评价指标（监理单位）</w:t>
      </w:r>
    </w:p>
    <w:tbl>
      <w:tblPr>
        <w:tblStyle w:val="17"/>
        <w:tblW w:w="21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0"/>
        <w:gridCol w:w="1170"/>
        <w:gridCol w:w="1170"/>
        <w:gridCol w:w="864"/>
        <w:gridCol w:w="1785"/>
        <w:gridCol w:w="3261"/>
        <w:gridCol w:w="5370"/>
        <w:gridCol w:w="7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blHeader/>
          <w:jc w:val="center"/>
        </w:trPr>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一级指标</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二级指标</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三级指标</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分值（分）</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t>计分时限</w:t>
            </w:r>
          </w:p>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（信息有效性）</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计分项</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赋分标准</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履约能力</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企业状况（14分）</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水利工程监理项目数量</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已完成的水利工程监理业绩</w:t>
            </w:r>
          </w:p>
        </w:tc>
        <w:tc>
          <w:tcPr>
            <w:tcW w:w="53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 0.4分/个</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（1）范围认定：信息已在在透明工程正式入库，且该申报业绩的质量监督机构是水行政主管部门或水行政主管部门委托的水利工程质量监督机构；</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认定材料：合同以及由项目法人出具的完工验收（合同工程验收）鉴定书（无完工验收鉴定书的，应同时提交完工质量监督报告或经质量监督机构核备完工内容的相关验收质量结论、项目完工验收报告和业主确认的完工证明；完工竣工合并验收的以竣工验收鉴定书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（3）时间以完工验收（合同工程验收）鉴定书或完工质量安全监督报告中明确的完工时间为准；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（4）经核查发现申报信息不实的，该项业绩不得分并罚扣1分，扣分持续6个月。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6"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水利工程监理合同额</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已完成的水利工程监理合同额</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甲级资质企业，累计合同额满80万元得0.6分，每增加80万元加0.6分；乙级及以下资质企业，累计合同额满30万元得0.6分，每增加30万元加0.6分。</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专业技术力量</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注册监理工程师（水利工程）</w:t>
            </w:r>
          </w:p>
        </w:tc>
        <w:tc>
          <w:tcPr>
            <w:tcW w:w="53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满足监理甲级资质最低要求得3分，每增加1人加0.5分；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满足监理乙级及以下资质最低要求得3分，每增加1人加1分。</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（1）证明材料：在本单位注册的有效证书；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（2）一人同时有多本证的，只计一次；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（3）若发生人员离职、证书注销等情况，企业未在1个月内及时更新，该人次信息不得分，且每人次罚扣1分，持续3个月；</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（4）最低要求依据水利部颁发《水利工程建设监理单位资质管理办法》各专业资质等级配备监理工程师一览表。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人员行为（15分）</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单位从业人员信用情况</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企业的法定代表人、直接责任人等因违反建设工程质量管理法律法规被行政处罚的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（1）从业人员行为与行政处罚决定书或生效判决书注明的企业相关联；</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（2）人员离职、退休等情况不影响计分时限；</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（3）时间以处罚时间和判决生效时间为准。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企业的法定代表人、直接责任人等因违反建设工程质量管理法律法规被追究刑事责任的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企业的法定代表人、直接责任人等因违反安全生产管理法律法规被行政处罚的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企业的法定代表人、直接责任人等因违反安全生产管理法律法规，被追究刑事责任的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投标活动中企业的法定代表人、直接责任人等因违反招标投标法律法规被行政处罚的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投标活动中企业的法定代表人、直接责任人等因违反招标投标法律法规被追究刑事责任的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技术引领（4分）</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所监理水利工程获得优质工程奖情况</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评价时间向前追溯5年范围内</w:t>
            </w: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国家优质工程奖、中国建设工程鲁班奖、中国土木工程詹天佑奖、中国水利优质工程（大禹）奖</w:t>
            </w:r>
          </w:p>
        </w:tc>
        <w:tc>
          <w:tcPr>
            <w:tcW w:w="53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2分/项</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（1）同一项目多次获奖，按最高奖项计分，不累计得分；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（2）时间以获奖证书或获奖文件注明时间为准；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（3）经核查发现申报信息不实的，该指标项不得分并罚扣2分，持续6个月。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省级优质工程奖：如钱江杯等</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1.5分/项</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地市级优质工程奖项：如西湖杯、它山堰杯等</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水利建设相关技术标准、发明专利</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单位主编国家、行业标准</w:t>
            </w:r>
          </w:p>
        </w:tc>
        <w:tc>
          <w:tcPr>
            <w:tcW w:w="5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7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（1）时间以标准发布时间为准；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（2）证明材料包括标准封面及本单位主编或参编页面以及全国标准信息公共服务平台、全国团体信息标准平台的查询页面截图；</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（3）水利建设相关技术标准范围以水利部门官网提供的标准查询为准；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（4）发明、实用新型专利证明材料为相关专利证书；</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（5）经核查发现申报信息不实的，该指标项不得分并罚扣1分，持续6个月。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单位参编国家、行业标准，主编地方、团体标准</w:t>
            </w:r>
          </w:p>
        </w:tc>
        <w:tc>
          <w:tcPr>
            <w:tcW w:w="5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0.8分/项</w:t>
            </w: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单位参编地方、团体标准</w:t>
            </w:r>
          </w:p>
        </w:tc>
        <w:tc>
          <w:tcPr>
            <w:tcW w:w="5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发明、实用新型专利</w:t>
            </w:r>
          </w:p>
        </w:tc>
        <w:tc>
          <w:tcPr>
            <w:tcW w:w="5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工程项目管理数字化</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水利工程项目数字化管理应用</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（1）水利工程项目管理数字化应与“透明工程”实时共享，有机贯通工程进度、计量与支付、质量评定等主要业务；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（2）已完工的水利工程不再计列。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市场行为</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行政监督检查（10分）</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行政监督</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被各级水行政主管部门、水利质量安全监督机构作出约谈、情况通报、责令改正等行政处理意见</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时间以行政文书发出日期为准。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被各级水行政主管部门作出警告、通报批评、罚款、没收违法所得、没收非法财务、暂扣许可证件等行政处罚意见</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（1）时间以行政处罚决定文书发出日期为准；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（2）行政处罚信息通过浙江省一体化数字资源系统（IRS）共享获取。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被各级水行政主管部门作出吊销许可证件、降低资质等级、责令关闭、责令停产停业、限制开展生产经营活动、限制从业、不得申请行政许可等行政处罚意见</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被水行政主管部门以外的执法部门作出行政处罚意见</w:t>
            </w:r>
          </w:p>
        </w:tc>
        <w:tc>
          <w:tcPr>
            <w:tcW w:w="53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招投标监管（15分）</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投标行为</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评标过程中被评标委员会认定为低于成本价报价的，投标人无法说明低价合理性的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（2）信息追溯时间以评标报告时间为准。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中标候选人公示期间违反招标文件不得放弃中标的约定而放弃中标的</w:t>
            </w:r>
          </w:p>
        </w:tc>
        <w:tc>
          <w:tcPr>
            <w:tcW w:w="53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-2.5分/次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（2）信息追溯时间以招投标书面情况报告时间为准。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中标通知书公告发出后放弃中标资格，无正当理由拒绝签订书面合同或中标人未按招标文件约定的时间和要求提供履约保函或保证金的</w:t>
            </w:r>
          </w:p>
        </w:tc>
        <w:tc>
          <w:tcPr>
            <w:tcW w:w="53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-5分/次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（2）信息追溯时间以招投标书面情况报告时间为准。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被查实恶意虚假举报的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时间以被认定为恶意举报时间为准。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被省招投标智慧监管监督系统预警并查实的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-0.5分/次</w:t>
            </w:r>
          </w:p>
        </w:tc>
        <w:tc>
          <w:tcPr>
            <w:tcW w:w="7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（1）扣分从预警查实之日起，持续1个月；</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（2）该项最高扣3分。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履约监管（32分）</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质量监督</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评价时的前四个季度</w:t>
            </w: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在建项目施工现场评价</w:t>
            </w:r>
          </w:p>
        </w:tc>
        <w:tc>
          <w:tcPr>
            <w:tcW w:w="53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宋体" w:cs="Times New Roman"/>
                <w:i/>
                <w:color w:val="000000"/>
                <w:kern w:val="2"/>
                <w:sz w:val="22"/>
                <w:szCs w:val="22"/>
                <w:u w:val="none"/>
                <w:lang w:bidi="ar"/>
              </w:rPr>
              <w:t>S=</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kern w:val="2"/>
                      <w:sz w:val="22"/>
                      <w:szCs w:val="22"/>
                      <w:u w:val="none"/>
                      <w:lang w:val="en-US" w:bidi="ar-SA"/>
                    </w:rPr>
                  </m:ctrlPr>
                </m:fPr>
                <m:num>
                  <m:r>
                    <m:rPr/>
                    <w:rPr>
                      <w:rFonts w:hint="default" w:ascii="Cambria Math" w:hAnsi="Cambria Math" w:cs="Times New Roman"/>
                      <w:color w:val="000000"/>
                      <w:kern w:val="2"/>
                      <w:sz w:val="22"/>
                      <w:szCs w:val="22"/>
                      <w:u w:val="none"/>
                      <w:lang w:val="en-US" w:eastAsia="zh-CN" w:bidi="ar-SA"/>
                    </w:rPr>
                    <m:t>1</m:t>
                  </m:r>
                  <m:ctrlPr>
                    <w:rPr>
                      <w:rFonts w:hint="default" w:ascii="Cambria Math" w:hAnsi="Cambria Math" w:cs="Times New Roman"/>
                      <w:i/>
                      <w:iCs w:val="0"/>
                      <w:color w:val="000000"/>
                      <w:kern w:val="2"/>
                      <w:sz w:val="22"/>
                      <w:szCs w:val="22"/>
                      <w:u w:val="none"/>
                      <w:lang w:val="en-US" w:bidi="ar-SA"/>
                    </w:rPr>
                  </m:ctrlPr>
                </m:num>
                <m:den>
                  <m:r>
                    <m:rPr/>
                    <w:rPr>
                      <w:rFonts w:hint="default" w:ascii="Cambria Math" w:hAnsi="Cambria Math" w:cs="Times New Roman"/>
                      <w:color w:val="000000"/>
                      <w:kern w:val="2"/>
                      <w:sz w:val="22"/>
                      <w:szCs w:val="22"/>
                      <w:u w:val="none"/>
                      <w:lang w:val="en-US" w:eastAsia="zh-CN" w:bidi="ar-SA"/>
                    </w:rPr>
                    <m:t>n</m:t>
                  </m:r>
                  <m:ctrlPr>
                    <w:rPr>
                      <w:rFonts w:hint="default" w:ascii="Cambria Math" w:hAnsi="Cambria Math" w:cs="Times New Roman"/>
                      <w:i/>
                      <w:iCs w:val="0"/>
                      <w:color w:val="000000"/>
                      <w:kern w:val="2"/>
                      <w:sz w:val="22"/>
                      <w:szCs w:val="22"/>
                      <w:u w:val="none"/>
                      <w:lang w:val="en-US" w:bidi="ar-SA"/>
                    </w:rPr>
                  </m:ctrlPr>
                </m:den>
              </m:f>
              <m:nary>
                <m:naryPr>
                  <m:chr m:val="∑"/>
                  <m:limLoc m:val="undOvr"/>
                  <m:ctrlPr>
                    <w:rPr>
                      <w:rFonts w:hint="default" w:ascii="Cambria Math" w:hAnsi="Cambria Math" w:cs="Times New Roman"/>
                      <w:i/>
                      <w:iCs w:val="0"/>
                      <w:color w:val="000000"/>
                      <w:kern w:val="2"/>
                      <w:sz w:val="22"/>
                      <w:szCs w:val="22"/>
                      <w:u w:val="none"/>
                      <w:lang w:val="en-US" w:bidi="ar-SA"/>
                    </w:rPr>
                  </m:ctrlPr>
                </m:naryPr>
                <m:sub>
                  <m:r>
                    <m:rPr/>
                    <w:rPr>
                      <w:rFonts w:hint="default" w:ascii="Cambria Math" w:hAnsi="Cambria Math" w:cs="Times New Roman"/>
                      <w:color w:val="000000"/>
                      <w:kern w:val="2"/>
                      <w:sz w:val="22"/>
                      <w:szCs w:val="22"/>
                      <w:u w:val="none"/>
                      <w:lang w:val="en-US" w:eastAsia="zh-CN" w:bidi="ar-SA"/>
                    </w:rPr>
                    <m:t>i=1</m:t>
                  </m:r>
                  <m:ctrlPr>
                    <w:rPr>
                      <w:rFonts w:hint="default" w:ascii="Cambria Math" w:hAnsi="Cambria Math" w:cs="Times New Roman"/>
                      <w:i/>
                      <w:iCs w:val="0"/>
                      <w:color w:val="000000"/>
                      <w:kern w:val="2"/>
                      <w:sz w:val="22"/>
                      <w:szCs w:val="22"/>
                      <w:u w:val="none"/>
                      <w:lang w:val="en-US" w:bidi="ar-SA"/>
                    </w:rPr>
                  </m:ctrlPr>
                </m:sub>
                <m:sup>
                  <m:r>
                    <m:rPr/>
                    <w:rPr>
                      <w:rFonts w:hint="default" w:ascii="Cambria Math" w:hAnsi="Cambria Math" w:cs="Times New Roman"/>
                      <w:color w:val="000000"/>
                      <w:kern w:val="2"/>
                      <w:sz w:val="22"/>
                      <w:szCs w:val="22"/>
                      <w:u w:val="none"/>
                      <w:lang w:val="en-US" w:eastAsia="zh-CN" w:bidi="ar-SA"/>
                    </w:rPr>
                    <m:t>n</m:t>
                  </m:r>
                  <m:ctrlPr>
                    <w:rPr>
                      <w:rFonts w:hint="default" w:ascii="Cambria Math" w:hAnsi="Cambria Math" w:cs="Times New Roman"/>
                      <w:i/>
                      <w:iCs w:val="0"/>
                      <w:color w:val="000000"/>
                      <w:kern w:val="2"/>
                      <w:sz w:val="22"/>
                      <w:szCs w:val="22"/>
                      <w:u w:val="none"/>
                      <w:lang w:val="en-US" w:bidi="ar-SA"/>
                    </w:rPr>
                  </m:ctrlPr>
                </m:sup>
                <m:e>
                  <m:sSub>
                    <m:sSubPr>
                      <m:ctrlPr>
                        <w:rPr>
                          <w:rFonts w:hint="default" w:ascii="Cambria Math" w:hAnsi="Cambria Math" w:cs="Times New Roman"/>
                          <w:i/>
                          <w:iCs w:val="0"/>
                          <w:color w:val="000000"/>
                          <w:kern w:val="2"/>
                          <w:sz w:val="22"/>
                          <w:szCs w:val="22"/>
                          <w:u w:val="none"/>
                          <w:lang w:val="en-US" w:bidi="ar-SA"/>
                        </w:rPr>
                      </m:ctrlPr>
                    </m:sSubPr>
                    <m:e>
                      <m:r>
                        <m:rPr/>
                        <w:rPr>
                          <w:rFonts w:hint="default" w:ascii="Cambria Math" w:hAnsi="Cambria Math" w:cs="Times New Roman"/>
                          <w:color w:val="000000"/>
                          <w:kern w:val="2"/>
                          <w:sz w:val="22"/>
                          <w:szCs w:val="22"/>
                          <w:u w:val="none"/>
                          <w:lang w:val="en-US" w:eastAsia="zh-CN" w:bidi="ar-SA"/>
                        </w:rPr>
                        <m:t>l</m:t>
                      </m:r>
                      <m:ctrlPr>
                        <w:rPr>
                          <w:rFonts w:hint="default" w:ascii="Cambria Math" w:hAnsi="Cambria Math" w:cs="Times New Roman"/>
                          <w:i/>
                          <w:iCs w:val="0"/>
                          <w:color w:val="000000"/>
                          <w:kern w:val="2"/>
                          <w:sz w:val="22"/>
                          <w:szCs w:val="22"/>
                          <w:u w:val="none"/>
                          <w:lang w:val="en-US" w:bidi="ar-SA"/>
                        </w:rPr>
                      </m:ctrlPr>
                    </m:e>
                    <m:sub>
                      <m:r>
                        <m:rPr/>
                        <w:rPr>
                          <w:rFonts w:hint="default" w:ascii="Cambria Math" w:hAnsi="Cambria Math" w:cs="Times New Roman"/>
                          <w:color w:val="000000"/>
                          <w:kern w:val="2"/>
                          <w:sz w:val="22"/>
                          <w:szCs w:val="22"/>
                          <w:u w:val="none"/>
                          <w:lang w:val="en-US" w:eastAsia="zh-CN" w:bidi="ar-SA"/>
                        </w:rPr>
                        <m:t>i</m:t>
                      </m:r>
                      <m:ctrlPr>
                        <w:rPr>
                          <w:rFonts w:hint="default" w:ascii="Cambria Math" w:hAnsi="Cambria Math" w:cs="Times New Roman"/>
                          <w:i/>
                          <w:iCs w:val="0"/>
                          <w:color w:val="000000"/>
                          <w:kern w:val="2"/>
                          <w:sz w:val="22"/>
                          <w:szCs w:val="22"/>
                          <w:u w:val="none"/>
                          <w:lang w:val="en-US" w:bidi="ar-SA"/>
                        </w:rPr>
                      </m:ctrlPr>
                    </m:sub>
                  </m:sSub>
                  <m:ctrlPr>
                    <w:rPr>
                      <w:rFonts w:hint="default" w:ascii="Cambria Math" w:hAnsi="Cambria Math" w:cs="Times New Roman"/>
                      <w:i/>
                      <w:iCs w:val="0"/>
                      <w:color w:val="000000"/>
                      <w:kern w:val="2"/>
                      <w:sz w:val="22"/>
                      <w:szCs w:val="22"/>
                      <w:u w:val="none"/>
                      <w:lang w:val="en-US" w:bidi="ar-SA"/>
                    </w:rPr>
                  </m:ctrlPr>
                </m:e>
              </m:nary>
            </m:oMath>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（1）四个季度指评价时间的前四个季度，季度截止日期至季末月30或31日；</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（2）li是本企业在浙江省内前四个季度的项目每次质量监督检查问题扣分，pi是本企业在浙江省内前四个季度的项目每次安全监督检查问题扣分；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（3）n是该市场主体在浙江省内项目前四个季度被检查次数。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安全监督</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宋体" w:cs="Times New Roman"/>
                <w:i/>
                <w:iCs w:val="0"/>
                <w:color w:val="000000"/>
                <w:sz w:val="22"/>
                <w:szCs w:val="22"/>
                <w:u w:val="none"/>
                <w:lang w:val="en-US" w:eastAsia="zh-CN" w:bidi="ar"/>
              </w:rPr>
              <w:t>S=</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sz w:val="22"/>
                      <w:szCs w:val="22"/>
                      <w:u w:val="none"/>
                      <w:lang w:val="en-US" w:bidi="ar-SA"/>
                    </w:rPr>
                  </m:ctrlPr>
                </m:fPr>
                <m:num>
                  <m:r>
                    <m:rPr/>
                    <w:rPr>
                      <w:rFonts w:hint="default" w:ascii="Cambria Math" w:hAnsi="Cambria Math" w:cs="Times New Roman"/>
                      <w:color w:val="000000"/>
                      <w:sz w:val="22"/>
                      <w:szCs w:val="22"/>
                      <w:u w:val="none"/>
                      <w:lang w:val="en-US" w:eastAsia="zh-CN" w:bidi="ar-SA"/>
                    </w:rPr>
                    <m:t>1</m:t>
                  </m:r>
                  <m:ctrlPr>
                    <w:rPr>
                      <w:rFonts w:hint="default" w:ascii="Cambria Math" w:hAnsi="Cambria Math" w:cs="Times New Roman"/>
                      <w:i/>
                      <w:iCs w:val="0"/>
                      <w:color w:val="000000"/>
                      <w:sz w:val="22"/>
                      <w:szCs w:val="22"/>
                      <w:u w:val="none"/>
                      <w:lang w:val="en-US" w:bidi="ar-SA"/>
                    </w:rPr>
                  </m:ctrlPr>
                </m:num>
                <m:den>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den>
              </m:f>
              <m:nary>
                <m:naryPr>
                  <m:chr m:val="∑"/>
                  <m:limLoc m:val="undOvr"/>
                  <m:ctrlPr>
                    <w:rPr>
                      <w:rFonts w:hint="default" w:ascii="Cambria Math" w:hAnsi="Cambria Math" w:cs="Times New Roman"/>
                      <w:i/>
                      <w:iCs w:val="0"/>
                      <w:color w:val="000000"/>
                      <w:sz w:val="22"/>
                      <w:szCs w:val="22"/>
                      <w:u w:val="none"/>
                      <w:lang w:val="en-US" w:bidi="ar-SA"/>
                    </w:rPr>
                  </m:ctrlPr>
                </m:naryPr>
                <m:sub>
                  <m:r>
                    <m:rPr/>
                    <w:rPr>
                      <w:rFonts w:hint="default" w:ascii="Cambria Math" w:hAnsi="Cambria Math" w:cs="Times New Roman"/>
                      <w:color w:val="000000"/>
                      <w:sz w:val="22"/>
                      <w:szCs w:val="22"/>
                      <w:u w:val="none"/>
                      <w:lang w:val="en-US" w:eastAsia="zh-CN" w:bidi="ar-SA"/>
                    </w:rPr>
                    <m:t>i=1</m:t>
                  </m:r>
                  <m:ctrlPr>
                    <w:rPr>
                      <w:rFonts w:hint="default" w:ascii="Cambria Math" w:hAnsi="Cambria Math" w:cs="Times New Roman"/>
                      <w:i/>
                      <w:iCs w:val="0"/>
                      <w:color w:val="000000"/>
                      <w:sz w:val="22"/>
                      <w:szCs w:val="22"/>
                      <w:u w:val="none"/>
                      <w:lang w:val="en-US" w:bidi="ar-SA"/>
                    </w:rPr>
                  </m:ctrlPr>
                </m:sub>
                <m:sup>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sup>
                <m:e>
                  <m:sSub>
                    <m:sSubPr>
                      <m:ctrlPr>
                        <w:rPr>
                          <w:rFonts w:hint="default" w:ascii="Cambria Math" w:hAnsi="Cambria Math" w:cs="Times New Roman"/>
                          <w:i/>
                          <w:iCs w:val="0"/>
                          <w:color w:val="000000"/>
                          <w:sz w:val="22"/>
                          <w:szCs w:val="22"/>
                          <w:u w:val="none"/>
                          <w:lang w:val="en-US" w:bidi="ar-SA"/>
                        </w:rPr>
                      </m:ctrlPr>
                    </m:sSubPr>
                    <m:e>
                      <m:r>
                        <m:rPr/>
                        <w:rPr>
                          <w:rFonts w:hint="default" w:ascii="Cambria Math" w:hAnsi="Cambria Math" w:cs="Times New Roman"/>
                          <w:color w:val="000000"/>
                          <w:sz w:val="22"/>
                          <w:szCs w:val="22"/>
                          <w:u w:val="none"/>
                          <w:lang w:val="en-US" w:eastAsia="zh-CN" w:bidi="ar-SA"/>
                        </w:rPr>
                        <m:t>p</m:t>
                      </m:r>
                      <m:ctrlPr>
                        <w:rPr>
                          <w:rFonts w:hint="default" w:ascii="Cambria Math" w:hAnsi="Cambria Math" w:cs="Times New Roman"/>
                          <w:i/>
                          <w:iCs w:val="0"/>
                          <w:color w:val="000000"/>
                          <w:sz w:val="22"/>
                          <w:szCs w:val="22"/>
                          <w:u w:val="none"/>
                          <w:lang w:val="en-US" w:bidi="ar-SA"/>
                        </w:rPr>
                      </m:ctrlPr>
                    </m:e>
                    <m:sub>
                      <m:r>
                        <m:rPr/>
                        <w:rPr>
                          <w:rFonts w:hint="default" w:ascii="Cambria Math" w:hAnsi="Cambria Math" w:cs="Times New Roman"/>
                          <w:color w:val="000000"/>
                          <w:sz w:val="22"/>
                          <w:szCs w:val="22"/>
                          <w:u w:val="none"/>
                          <w:lang w:val="en-US" w:eastAsia="zh-CN" w:bidi="ar-SA"/>
                        </w:rPr>
                        <m:t>i</m:t>
                      </m:r>
                      <m:ctrlPr>
                        <w:rPr>
                          <w:rFonts w:hint="default" w:ascii="Cambria Math" w:hAnsi="Cambria Math" w:cs="Times New Roman"/>
                          <w:i/>
                          <w:iCs w:val="0"/>
                          <w:color w:val="000000"/>
                          <w:sz w:val="22"/>
                          <w:szCs w:val="22"/>
                          <w:u w:val="none"/>
                          <w:lang w:val="en-US" w:bidi="ar-SA"/>
                        </w:rPr>
                      </m:ctrlPr>
                    </m:sub>
                  </m:sSub>
                  <m:ctrlPr>
                    <w:rPr>
                      <w:rFonts w:hint="default" w:ascii="Cambria Math" w:hAnsi="Cambria Math" w:cs="Times New Roman"/>
                      <w:i/>
                      <w:iCs w:val="0"/>
                      <w:color w:val="000000"/>
                      <w:sz w:val="22"/>
                      <w:szCs w:val="22"/>
                      <w:u w:val="none"/>
                      <w:lang w:val="en-US" w:bidi="ar-SA"/>
                    </w:rPr>
                  </m:ctrlPr>
                </m:e>
              </m:nary>
            </m:oMath>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重点岗位人员履职</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评价时间向前追溯6个月范围内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重点岗位人员发生变更的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（1）纳入信用评价的重点岗位人员是指总监理工程师；</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（2）重点岗位人员以项目法人在透明工程填报信息为准，项目法人填报时需填写招投文件或合同对人员要求的相关内容、变更理由等；</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（3）变更和更换指人员与中标通知书明确的或合同中签订的不一致的，变更以质量监督机构核查通过为准；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（4）在各类检查、抽查、举报核查或质量监督活动发现人员变更、更换问题和现场履职不到位问题的，每次发现按人次进行扣分；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（5）日常考勤记录为“透明工程”监测统计的重点岗位人员考勤情况。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监督检查发现监理企业擅自更换重点岗位人员</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监督检查发现监理企业更换的重点岗位人员资格低于合同约定条件</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监督检查发现重点岗位人员现场履职不到位</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重点岗位人员日常考勤记录不满足每月合同约定天数</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每月出勤率˂</w:t>
            </w:r>
            <w:r>
              <w:rPr>
                <w:rStyle w:val="41"/>
                <w:rFonts w:hint="default" w:ascii="Times New Roman" w:hAnsi="Times New Roman" w:cs="Times New Roman"/>
                <w:lang w:val="en-US" w:eastAsia="zh-CN" w:bidi="ar"/>
              </w:rPr>
              <w:t>50%,扣0.5分/月.人次；50%≤出勤率</w:t>
            </w:r>
            <w:r>
              <w:rPr>
                <w:rFonts w:hint="default" w:ascii="Times New Roman" w:hAnsi="Times New Roman" w:eastAsia="仿宋_GB2312" w:cs="Times New Roman"/>
                <w:i w:val="0"/>
                <w:iCs w:val="0"/>
                <w:color w:val="000000"/>
                <w:kern w:val="0"/>
                <w:sz w:val="22"/>
                <w:szCs w:val="22"/>
                <w:u w:val="none"/>
                <w:lang w:val="en-US" w:eastAsia="zh-CN" w:bidi="ar"/>
              </w:rPr>
              <w:t>˂</w:t>
            </w:r>
            <w:r>
              <w:rPr>
                <w:rStyle w:val="41"/>
                <w:rFonts w:hint="default" w:ascii="Times New Roman" w:hAnsi="Times New Roman" w:cs="Times New Roman"/>
                <w:lang w:val="en-US" w:eastAsia="zh-CN" w:bidi="ar"/>
              </w:rPr>
              <w:t>60%,扣0.4分/月.人次；60%≤出勤率</w:t>
            </w:r>
            <w:r>
              <w:rPr>
                <w:rFonts w:hint="default" w:ascii="Times New Roman" w:hAnsi="Times New Roman" w:eastAsia="仿宋_GB2312" w:cs="Times New Roman"/>
                <w:i w:val="0"/>
                <w:iCs w:val="0"/>
                <w:color w:val="000000"/>
                <w:kern w:val="0"/>
                <w:sz w:val="22"/>
                <w:szCs w:val="22"/>
                <w:u w:val="none"/>
                <w:lang w:val="en-US" w:eastAsia="zh-CN" w:bidi="ar"/>
              </w:rPr>
              <w:t>˂</w:t>
            </w:r>
            <w:r>
              <w:rPr>
                <w:rStyle w:val="41"/>
                <w:rFonts w:hint="default" w:ascii="Times New Roman" w:hAnsi="Times New Roman" w:cs="Times New Roman"/>
                <w:lang w:val="en-US" w:eastAsia="zh-CN" w:bidi="ar"/>
              </w:rPr>
              <w:t>70%,扣0.3分/月.人次；70%≤出勤率</w:t>
            </w:r>
            <w:r>
              <w:rPr>
                <w:rFonts w:hint="default" w:ascii="Times New Roman" w:hAnsi="Times New Roman" w:eastAsia="仿宋_GB2312" w:cs="Times New Roman"/>
                <w:i w:val="0"/>
                <w:iCs w:val="0"/>
                <w:color w:val="000000"/>
                <w:kern w:val="0"/>
                <w:sz w:val="22"/>
                <w:szCs w:val="22"/>
                <w:u w:val="none"/>
                <w:lang w:val="en-US" w:eastAsia="zh-CN" w:bidi="ar"/>
              </w:rPr>
              <w:t>˂</w:t>
            </w:r>
            <w:r>
              <w:rPr>
                <w:rStyle w:val="41"/>
                <w:rFonts w:hint="default" w:ascii="Times New Roman" w:hAnsi="Times New Roman" w:cs="Times New Roman"/>
                <w:lang w:val="en-US" w:eastAsia="zh-CN" w:bidi="ar"/>
              </w:rPr>
              <w:t>80%,扣0.2分/月.人次；80%≤出勤率</w:t>
            </w:r>
            <w:r>
              <w:rPr>
                <w:rFonts w:hint="default" w:ascii="Times New Roman" w:hAnsi="Times New Roman" w:eastAsia="仿宋_GB2312" w:cs="Times New Roman"/>
                <w:i w:val="0"/>
                <w:iCs w:val="0"/>
                <w:color w:val="000000"/>
                <w:kern w:val="0"/>
                <w:sz w:val="22"/>
                <w:szCs w:val="22"/>
                <w:u w:val="none"/>
                <w:lang w:val="en-US" w:eastAsia="zh-CN" w:bidi="ar"/>
              </w:rPr>
              <w:t>˂</w:t>
            </w:r>
            <w:r>
              <w:rPr>
                <w:rStyle w:val="41"/>
                <w:rFonts w:hint="default" w:ascii="Times New Roman" w:hAnsi="Times New Roman" w:cs="Times New Roman"/>
                <w:lang w:val="en-US" w:eastAsia="zh-CN" w:bidi="ar"/>
              </w:rPr>
              <w:t>90%,扣0.1分/月.人次。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监督检查发现监理人员现场配备未达到合同约定要求</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进度控制</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因监理单位原因导致工期延长超过１５％</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-0.5分/次</w:t>
            </w:r>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以属地水行政主管部门认定情况为准。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投资控制</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因监理方原因导致工程合同金额变更超15%；配合虚报工程量或结算造价被审计提出问题整改的</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人员意外保险</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未给施工现场监理人员购买意外伤害保险</w:t>
            </w:r>
          </w:p>
        </w:tc>
        <w:tc>
          <w:tcPr>
            <w:tcW w:w="53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-0.5分/人次</w:t>
            </w: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项目法人履约评价</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评价时的前四季度</w:t>
            </w: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经水行政主管部门审核的项目法人履约评价</w:t>
            </w:r>
          </w:p>
        </w:tc>
        <w:tc>
          <w:tcPr>
            <w:tcW w:w="53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宋体" w:cs="Times New Roman"/>
                <w:i/>
                <w:color w:val="000000"/>
                <w:kern w:val="2"/>
                <w:sz w:val="22"/>
                <w:szCs w:val="22"/>
                <w:u w:val="none"/>
                <w:lang w:bidi="ar"/>
              </w:rPr>
              <w:t>S</w:t>
            </w:r>
            <w:r>
              <w:rPr>
                <w:rFonts w:hint="default" w:ascii="Times New Roman" w:hAnsi="Times New Roman" w:eastAsia="宋体" w:cs="Times New Roman"/>
                <w:i/>
                <w:iCs w:val="0"/>
                <w:color w:val="000000"/>
                <w:sz w:val="22"/>
                <w:szCs w:val="22"/>
                <w:u w:val="none"/>
                <w:lang w:val="en-US" w:eastAsia="zh-CN" w:bidi="ar"/>
              </w:rPr>
              <w:t>=</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sz w:val="22"/>
                      <w:szCs w:val="22"/>
                      <w:u w:val="none"/>
                      <w:lang w:val="en-US" w:bidi="ar-SA"/>
                    </w:rPr>
                  </m:ctrlPr>
                </m:fPr>
                <m:num>
                  <m:r>
                    <m:rPr/>
                    <w:rPr>
                      <w:rFonts w:hint="default" w:ascii="Cambria Math" w:hAnsi="Cambria Math" w:cs="Times New Roman"/>
                      <w:color w:val="000000"/>
                      <w:sz w:val="22"/>
                      <w:szCs w:val="22"/>
                      <w:u w:val="none"/>
                      <w:lang w:val="en-US" w:eastAsia="zh-CN" w:bidi="ar-SA"/>
                    </w:rPr>
                    <m:t>1</m:t>
                  </m:r>
                  <m:ctrlPr>
                    <w:rPr>
                      <w:rFonts w:hint="default" w:ascii="Cambria Math" w:hAnsi="Cambria Math" w:cs="Times New Roman"/>
                      <w:i/>
                      <w:iCs w:val="0"/>
                      <w:color w:val="000000"/>
                      <w:sz w:val="22"/>
                      <w:szCs w:val="22"/>
                      <w:u w:val="none"/>
                      <w:lang w:val="en-US" w:bidi="ar-SA"/>
                    </w:rPr>
                  </m:ctrlPr>
                </m:num>
                <m:den>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den>
              </m:f>
              <m:nary>
                <m:naryPr>
                  <m:chr m:val="∑"/>
                  <m:limLoc m:val="undOvr"/>
                  <m:ctrlPr>
                    <w:rPr>
                      <w:rFonts w:hint="default" w:ascii="Cambria Math" w:hAnsi="Cambria Math" w:cs="Times New Roman"/>
                      <w:i/>
                      <w:iCs w:val="0"/>
                      <w:color w:val="000000"/>
                      <w:sz w:val="22"/>
                      <w:szCs w:val="22"/>
                      <w:u w:val="none"/>
                      <w:lang w:val="en-US" w:bidi="ar-SA"/>
                    </w:rPr>
                  </m:ctrlPr>
                </m:naryPr>
                <m:sub>
                  <m:r>
                    <m:rPr/>
                    <w:rPr>
                      <w:rFonts w:hint="default" w:ascii="Cambria Math" w:hAnsi="Cambria Math" w:cs="Times New Roman"/>
                      <w:color w:val="000000"/>
                      <w:sz w:val="22"/>
                      <w:szCs w:val="22"/>
                      <w:u w:val="none"/>
                      <w:lang w:val="en-US" w:eastAsia="zh-CN" w:bidi="ar-SA"/>
                    </w:rPr>
                    <m:t>i=1</m:t>
                  </m:r>
                  <m:ctrlPr>
                    <w:rPr>
                      <w:rFonts w:hint="default" w:ascii="Cambria Math" w:hAnsi="Cambria Math" w:cs="Times New Roman"/>
                      <w:i/>
                      <w:iCs w:val="0"/>
                      <w:color w:val="000000"/>
                      <w:sz w:val="22"/>
                      <w:szCs w:val="22"/>
                      <w:u w:val="none"/>
                      <w:lang w:val="en-US" w:bidi="ar-SA"/>
                    </w:rPr>
                  </m:ctrlPr>
                </m:sub>
                <m:sup>
                  <m:r>
                    <m:rPr/>
                    <w:rPr>
                      <w:rFonts w:hint="default" w:ascii="Cambria Math" w:hAnsi="Cambria Math" w:cs="Times New Roman"/>
                      <w:color w:val="000000"/>
                      <w:sz w:val="22"/>
                      <w:szCs w:val="22"/>
                      <w:u w:val="none"/>
                      <w:lang w:val="en-US" w:eastAsia="zh-CN" w:bidi="ar-SA"/>
                    </w:rPr>
                    <m:t>n</m:t>
                  </m:r>
                  <m:ctrlPr>
                    <w:rPr>
                      <w:rFonts w:hint="default" w:ascii="Cambria Math" w:hAnsi="Cambria Math" w:cs="Times New Roman"/>
                      <w:i/>
                      <w:iCs w:val="0"/>
                      <w:color w:val="000000"/>
                      <w:sz w:val="22"/>
                      <w:szCs w:val="22"/>
                      <w:u w:val="none"/>
                      <w:lang w:val="en-US" w:bidi="ar-SA"/>
                    </w:rPr>
                  </m:ctrlPr>
                </m:sup>
                <m:e>
                  <m:sSub>
                    <m:sSubPr>
                      <m:ctrlPr>
                        <w:rPr>
                          <w:rFonts w:hint="default" w:ascii="Cambria Math" w:hAnsi="Cambria Math" w:cs="Times New Roman"/>
                          <w:i/>
                          <w:iCs w:val="0"/>
                          <w:color w:val="000000"/>
                          <w:sz w:val="22"/>
                          <w:szCs w:val="22"/>
                          <w:u w:val="none"/>
                          <w:lang w:val="en-US" w:bidi="ar-SA"/>
                        </w:rPr>
                      </m:ctrlPr>
                    </m:sSubPr>
                    <m:e>
                      <m:r>
                        <m:rPr/>
                        <w:rPr>
                          <w:rFonts w:hint="default" w:ascii="Cambria Math" w:hAnsi="Cambria Math" w:cs="Times New Roman"/>
                          <w:color w:val="000000"/>
                          <w:sz w:val="22"/>
                          <w:szCs w:val="22"/>
                          <w:u w:val="none"/>
                          <w:lang w:val="en-US" w:eastAsia="zh-CN" w:bidi="ar-SA"/>
                        </w:rPr>
                        <m:t>q</m:t>
                      </m:r>
                      <m:ctrlPr>
                        <w:rPr>
                          <w:rFonts w:hint="default" w:ascii="Cambria Math" w:hAnsi="Cambria Math" w:cs="Times New Roman"/>
                          <w:i/>
                          <w:iCs w:val="0"/>
                          <w:color w:val="000000"/>
                          <w:sz w:val="22"/>
                          <w:szCs w:val="22"/>
                          <w:u w:val="none"/>
                          <w:lang w:val="en-US" w:bidi="ar-SA"/>
                        </w:rPr>
                      </m:ctrlPr>
                    </m:e>
                    <m:sub>
                      <m:r>
                        <m:rPr/>
                        <w:rPr>
                          <w:rFonts w:hint="default" w:ascii="Cambria Math" w:hAnsi="Cambria Math" w:cs="Times New Roman"/>
                          <w:color w:val="000000"/>
                          <w:sz w:val="22"/>
                          <w:szCs w:val="22"/>
                          <w:u w:val="none"/>
                          <w:lang w:val="en-US" w:eastAsia="zh-CN" w:bidi="ar-SA"/>
                        </w:rPr>
                        <m:t>i</m:t>
                      </m:r>
                      <m:ctrlPr>
                        <w:rPr>
                          <w:rFonts w:hint="default" w:ascii="Cambria Math" w:hAnsi="Cambria Math" w:cs="Times New Roman"/>
                          <w:i/>
                          <w:iCs w:val="0"/>
                          <w:color w:val="000000"/>
                          <w:sz w:val="22"/>
                          <w:szCs w:val="22"/>
                          <w:u w:val="none"/>
                          <w:lang w:val="en-US" w:bidi="ar-SA"/>
                        </w:rPr>
                      </m:ctrlPr>
                    </m:sub>
                  </m:sSub>
                  <m:ctrlPr>
                    <w:rPr>
                      <w:rFonts w:hint="default" w:ascii="Cambria Math" w:hAnsi="Cambria Math" w:cs="Times New Roman"/>
                      <w:i/>
                      <w:iCs w:val="0"/>
                      <w:color w:val="000000"/>
                      <w:sz w:val="22"/>
                      <w:szCs w:val="22"/>
                      <w:u w:val="none"/>
                      <w:lang w:val="en-US" w:bidi="ar-SA"/>
                    </w:rPr>
                  </m:ctrlPr>
                </m:e>
              </m:nary>
            </m:oMath>
          </w:p>
        </w:tc>
        <w:tc>
          <w:tcPr>
            <w:tcW w:w="71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（1）前四个季度评价结果作为市场主体本季度在建项目履约评价计分依据；</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（2）qi是本企业在浙江省内前四个季度的所有项目履约评价扣分情况；</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（3）n是浙江省内前四个季度的项目被评价次数；</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（4）未经项目水行政主管部门确认的分值不计入。</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公共信用评价（10分）</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50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国家信用中心最新结果</w:t>
            </w:r>
          </w:p>
        </w:tc>
        <w:tc>
          <w:tcPr>
            <w:tcW w:w="53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公共信用评价得分*权重系数</w:t>
            </w:r>
          </w:p>
        </w:tc>
        <w:tc>
          <w:tcPr>
            <w:tcW w:w="71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（1）该项分值通过共享国家信用中心结果得到；</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（2）缺少共享数据的按中位数赋分。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0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总分</w:t>
            </w:r>
          </w:p>
        </w:tc>
        <w:tc>
          <w:tcPr>
            <w:tcW w:w="2076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100分</w:t>
            </w:r>
          </w:p>
        </w:tc>
      </w:tr>
    </w:tbl>
    <w:p>
      <w:pPr>
        <w:rPr>
          <w:rFonts w:hint="eastAsia" w:ascii="Times New Roman" w:hAnsi="Times New Roman" w:eastAsia="仿宋" w:cs="Times New Roman"/>
          <w:b w:val="0"/>
          <w:bCs w:val="0"/>
          <w:color w:val="auto"/>
          <w:kern w:val="2"/>
          <w:sz w:val="32"/>
          <w:szCs w:val="32"/>
          <w:highlight w:val="none"/>
          <w:shd w:val="clear" w:color="auto" w:fill="FFFFFF"/>
          <w:lang w:eastAsia="zh-CN"/>
        </w:rPr>
      </w:pPr>
      <w:r>
        <w:rPr>
          <w:rFonts w:hint="eastAsia" w:ascii="Times New Roman" w:hAnsi="Times New Roman" w:eastAsia="仿宋" w:cs="Times New Roman"/>
          <w:b w:val="0"/>
          <w:bCs w:val="0"/>
          <w:color w:val="auto"/>
          <w:kern w:val="2"/>
          <w:sz w:val="32"/>
          <w:szCs w:val="32"/>
          <w:highlight w:val="none"/>
          <w:shd w:val="clear" w:color="auto" w:fill="FFFFFF"/>
          <w:lang w:eastAsia="zh-CN"/>
        </w:rPr>
        <w:br w:type="page"/>
      </w:r>
    </w:p>
    <w:p>
      <w:pPr>
        <w:jc w:val="center"/>
        <w:rPr>
          <w:rFonts w:hint="default" w:ascii="Times New Roman" w:hAnsi="Times New Roman" w:eastAsia="方正小标宋简体" w:cs="Times New Roman"/>
          <w:i w:val="0"/>
          <w:iCs w:val="0"/>
          <w:color w:val="000000"/>
          <w:kern w:val="0"/>
          <w:sz w:val="40"/>
          <w:szCs w:val="40"/>
          <w:u w:val="none"/>
          <w:lang w:val="en-US" w:eastAsia="zh-CN" w:bidi="ar"/>
        </w:rPr>
      </w:pPr>
      <w:r>
        <w:rPr>
          <w:rFonts w:hint="default" w:ascii="Times New Roman" w:hAnsi="Times New Roman" w:eastAsia="方正小标宋简体" w:cs="Times New Roman"/>
          <w:i w:val="0"/>
          <w:iCs w:val="0"/>
          <w:color w:val="000000"/>
          <w:kern w:val="0"/>
          <w:sz w:val="40"/>
          <w:szCs w:val="40"/>
          <w:u w:val="none"/>
          <w:lang w:val="en-US" w:eastAsia="zh-CN" w:bidi="ar"/>
        </w:rPr>
        <w:t>浙江省水利建设市场主体信用评价指标（咨询单位）</w:t>
      </w:r>
    </w:p>
    <w:tbl>
      <w:tblPr>
        <w:tblStyle w:val="17"/>
        <w:tblW w:w="21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63"/>
        <w:gridCol w:w="1162"/>
        <w:gridCol w:w="910"/>
        <w:gridCol w:w="1704"/>
        <w:gridCol w:w="3311"/>
        <w:gridCol w:w="5325"/>
        <w:gridCol w:w="7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1125" w:type="dxa"/>
            <w:noWrap w:val="0"/>
            <w:vAlign w:val="center"/>
          </w:tcPr>
          <w:p>
            <w:pPr>
              <w:keepNext w:val="0"/>
              <w:keepLines w:val="0"/>
              <w:widowControl/>
              <w:suppressLineNumbers w:val="0"/>
              <w:jc w:val="center"/>
              <w:textAlignment w:val="center"/>
              <w:rPr>
                <w:rFonts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一级指标</w:t>
            </w:r>
          </w:p>
        </w:tc>
        <w:tc>
          <w:tcPr>
            <w:tcW w:w="11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二级指标</w:t>
            </w:r>
          </w:p>
        </w:tc>
        <w:tc>
          <w:tcPr>
            <w:tcW w:w="116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三级指标</w:t>
            </w:r>
          </w:p>
        </w:tc>
        <w:tc>
          <w:tcPr>
            <w:tcW w:w="91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分值（分）</w:t>
            </w:r>
          </w:p>
        </w:tc>
        <w:tc>
          <w:tcPr>
            <w:tcW w:w="170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计分时限</w:t>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t>（信息有效性）</w:t>
            </w:r>
          </w:p>
        </w:tc>
        <w:tc>
          <w:tcPr>
            <w:tcW w:w="331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计分项</w:t>
            </w:r>
          </w:p>
        </w:tc>
        <w:tc>
          <w:tcPr>
            <w:tcW w:w="532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赋分标准</w:t>
            </w:r>
          </w:p>
        </w:tc>
        <w:tc>
          <w:tcPr>
            <w:tcW w:w="716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5"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履约能力</w:t>
            </w:r>
          </w:p>
        </w:tc>
        <w:tc>
          <w:tcPr>
            <w:tcW w:w="1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企业状况（19.5分）</w:t>
            </w:r>
          </w:p>
        </w:tc>
        <w:tc>
          <w:tcPr>
            <w:tcW w:w="1162"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资质资信</w:t>
            </w: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04"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11"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已获得资信证书</w:t>
            </w:r>
          </w:p>
        </w:tc>
        <w:tc>
          <w:tcPr>
            <w:tcW w:w="5325"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获得工程咨询甲级资信证书（水利水电）得1分；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获得工程咨询乙级资信证书（水利水电）得0.8分。</w:t>
            </w:r>
          </w:p>
        </w:tc>
        <w:tc>
          <w:tcPr>
            <w:tcW w:w="7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（1）工程咨询综合甲级资信证书按甲级资信证书（水利水电）计；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（2）以中国工程咨询协会综合业务管理系统数据为准，同时具备甲级、乙级资信证书的，取高档计分；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（3）在“透明工程”申报时除提供证书扫描件外，还需提供中国工程咨询协会网站查询截图。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水利工程咨询项目数量</w:t>
            </w: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04"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311"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已完成的水利工程咨询项目业绩</w:t>
            </w:r>
          </w:p>
        </w:tc>
        <w:tc>
          <w:tcPr>
            <w:tcW w:w="5325"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工程咨询甲级资信单位，0.2分/项；</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工程咨询乙级资信单位，0.4分/项。</w:t>
            </w:r>
          </w:p>
        </w:tc>
        <w:tc>
          <w:tcPr>
            <w:tcW w:w="7163" w:type="dxa"/>
            <w:vMerge w:val="restar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spacing w:before="0" w:beforeAutospacing="0" w:after="0" w:afterAutospacing="0" w:line="240" w:lineRule="auto"/>
              <w:ind w:left="0" w:right="0" w:firstLine="0"/>
              <w:jc w:val="left"/>
              <w:textAlignment w:val="center"/>
              <w:rPr>
                <w:rFonts w:hint="default" w:ascii="Times New Roman" w:hAnsi="Times New Roman" w:eastAsia="仿宋_GB2312" w:cs="Times New Roman"/>
                <w:i w:val="0"/>
                <w:iCs w:val="0"/>
                <w:caps w:val="0"/>
                <w:color w:val="000000"/>
                <w:spacing w:val="0"/>
                <w:kern w:val="0"/>
                <w:sz w:val="22"/>
                <w:szCs w:val="22"/>
                <w:u w:val="none"/>
                <w:lang w:bidi="ar"/>
              </w:rPr>
            </w:pPr>
            <w:r>
              <w:rPr>
                <w:rFonts w:hint="default" w:ascii="Times New Roman" w:hAnsi="Times New Roman" w:eastAsia="仿宋_GB2312" w:cs="Times New Roman"/>
                <w:i w:val="0"/>
                <w:iCs w:val="0"/>
                <w:color w:val="000000"/>
                <w:kern w:val="0"/>
                <w:sz w:val="22"/>
                <w:szCs w:val="22"/>
                <w:u w:val="none"/>
                <w:lang w:val="en-US" w:eastAsia="zh-CN" w:bidi="ar"/>
              </w:rPr>
              <w:t>（1）根据《工程咨询行业管理办法》（</w:t>
            </w:r>
            <w:r>
              <w:rPr>
                <w:rFonts w:hint="default" w:ascii="Times New Roman" w:hAnsi="Times New Roman" w:eastAsia="仿宋_GB2312" w:cs="Times New Roman"/>
                <w:i w:val="0"/>
                <w:iCs w:val="0"/>
                <w:caps w:val="0"/>
                <w:color w:val="000000"/>
                <w:spacing w:val="0"/>
                <w:kern w:val="0"/>
                <w:sz w:val="22"/>
                <w:szCs w:val="22"/>
                <w:u w:val="none"/>
                <w:shd w:val="clear" w:color="auto" w:fill="auto"/>
                <w:lang w:val="en-US" w:eastAsia="zh-CN" w:bidi="ar"/>
              </w:rPr>
              <w:t>国家发展改革委2017年第9号令</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），工程咨询服务范围包括:规划咨询、项目咨询、评估咨询及全过程工程咨询；</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（2）认定材料为业绩合同或委托函（委托函仅限政府部门）、</w:t>
            </w:r>
            <w:r>
              <w:rPr>
                <w:rFonts w:hint="default" w:ascii="Times New Roman" w:hAnsi="Times New Roman" w:eastAsia="仿宋_GB2312" w:cs="Times New Roman"/>
                <w:i w:val="0"/>
                <w:iCs w:val="0"/>
                <w:color w:val="auto"/>
                <w:kern w:val="0"/>
                <w:sz w:val="22"/>
                <w:szCs w:val="22"/>
                <w:u w:val="none"/>
                <w:lang w:val="en-US" w:eastAsia="zh-CN" w:bidi="ar"/>
              </w:rPr>
              <w:t>咨询成果报告，其中规划咨询、项目咨询还需提供相关部门的批复</w:t>
            </w:r>
            <w:r>
              <w:rPr>
                <w:rFonts w:hint="default" w:ascii="Times New Roman" w:hAnsi="Times New Roman" w:eastAsia="仿宋_GB2312" w:cs="Times New Roman"/>
                <w:i w:val="0"/>
                <w:iCs w:val="0"/>
                <w:color w:val="auto"/>
                <w:kern w:val="0"/>
                <w:sz w:val="22"/>
                <w:szCs w:val="22"/>
                <w:highlight w:val="none"/>
                <w:u w:val="none"/>
                <w:lang w:val="en-US" w:eastAsia="zh-CN" w:bidi="ar"/>
              </w:rPr>
              <w:t>文件或委托方出具的业绩完成证明，全过程工程咨询需提供项目合同工程</w:t>
            </w:r>
            <w:r>
              <w:rPr>
                <w:rFonts w:hint="default" w:ascii="Times New Roman" w:hAnsi="Times New Roman" w:eastAsia="仿宋_GB2312" w:cs="Times New Roman"/>
                <w:i w:val="0"/>
                <w:iCs w:val="0"/>
                <w:color w:val="auto"/>
                <w:kern w:val="0"/>
                <w:sz w:val="22"/>
                <w:szCs w:val="22"/>
                <w:u w:val="none"/>
                <w:lang w:val="en-US" w:eastAsia="zh-CN" w:bidi="ar"/>
              </w:rPr>
              <w:t>完工验收鉴定书；</w:t>
            </w:r>
            <w:r>
              <w:rPr>
                <w:rFonts w:hint="default" w:ascii="Times New Roman" w:hAnsi="Times New Roman" w:eastAsia="仿宋_GB2312" w:cs="Times New Roman"/>
                <w:i w:val="0"/>
                <w:iCs w:val="0"/>
                <w:color w:val="auto"/>
                <w:kern w:val="0"/>
                <w:sz w:val="22"/>
                <w:szCs w:val="22"/>
                <w:u w:val="none"/>
                <w:lang w:val="en-US" w:eastAsia="zh-CN" w:bidi="ar"/>
              </w:rPr>
              <w:br w:type="textWrapping"/>
            </w:r>
            <w:r>
              <w:rPr>
                <w:rFonts w:hint="default" w:ascii="Times New Roman" w:hAnsi="Times New Roman" w:eastAsia="仿宋_GB2312" w:cs="Times New Roman"/>
                <w:i w:val="0"/>
                <w:iCs w:val="0"/>
                <w:color w:val="auto"/>
                <w:kern w:val="0"/>
                <w:sz w:val="22"/>
                <w:szCs w:val="22"/>
                <w:u w:val="none"/>
                <w:lang w:val="en-US" w:eastAsia="zh-CN" w:bidi="ar"/>
              </w:rPr>
              <w:t>（3）业绩认定时间咨询成果报告、批复文</w:t>
            </w:r>
            <w:r>
              <w:rPr>
                <w:rFonts w:hint="default" w:ascii="Times New Roman" w:hAnsi="Times New Roman" w:eastAsia="仿宋_GB2312" w:cs="Times New Roman"/>
                <w:i w:val="0"/>
                <w:iCs w:val="0"/>
                <w:color w:val="000000"/>
                <w:kern w:val="0"/>
                <w:sz w:val="22"/>
                <w:szCs w:val="22"/>
                <w:u w:val="none"/>
                <w:lang w:val="en-US" w:eastAsia="zh-CN" w:bidi="ar"/>
              </w:rPr>
              <w:t>件以及完工验收鉴定书等有关证明材料上的时间为准；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（4）经核查发现申报信息不实的，该项不得分并每项罚扣1分，扣分持续6个月。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水利工程咨询项目合同额</w:t>
            </w: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04"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3311"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已完成的水利工程咨询项目合同额</w:t>
            </w:r>
          </w:p>
        </w:tc>
        <w:tc>
          <w:tcPr>
            <w:tcW w:w="5325"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工程咨询甲级资信单位已完成的水利工程咨询项目合同额累计满300万得0.5分，另外每增加200万元加0.5分；</w:t>
            </w:r>
            <w:r>
              <w:rPr>
                <w:rFonts w:hint="default" w:ascii="Times New Roman" w:hAnsi="Times New Roman" w:eastAsia="仿宋_GB2312" w:cs="Times New Roman"/>
                <w:i w:val="0"/>
                <w:iCs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000000"/>
                <w:kern w:val="0"/>
                <w:sz w:val="22"/>
                <w:szCs w:val="22"/>
                <w:highlight w:val="none"/>
                <w:u w:val="none"/>
                <w:lang w:val="en-US" w:eastAsia="zh-CN" w:bidi="ar"/>
              </w:rPr>
              <w:t>工程咨询乙级资信单位已完成的水利咨询项目合同额累计满100万得0.5分，另外每增加100万元加0.5分。</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咨询年限</w:t>
            </w:r>
          </w:p>
        </w:tc>
        <w:tc>
          <w:tcPr>
            <w:tcW w:w="91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从事咨询业务的年限</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工程咨询甲级资信单位，从事咨询业务年限10年（含）以上得1分，5（含）-10年得0.5分，5年以下得0.3分；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工程咨询乙级资信单位，从事咨询业务年限5年（含）以上得1分，5年以下得0.5分。</w:t>
            </w:r>
          </w:p>
        </w:tc>
        <w:tc>
          <w:tcPr>
            <w:tcW w:w="7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（1）2018年以前从事咨询业务的单位，应提供原取得的原咨询单位甲、乙、丙级资质证书，年限按最早取得资质证书的时间计；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（2）2018年以后从事咨询业务的单位，应提供工程咨询单位甲、乙级资信证书，或全国投资项目在线审批监管平台的备案证明，年限按照最早取得资信证书或备案通过时间计算。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人员力量</w:t>
            </w:r>
          </w:p>
        </w:tc>
        <w:tc>
          <w:tcPr>
            <w:tcW w:w="91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咨询工程师（投资）执业登记人员数量（水利水电专业）</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工程咨询甲级资信单位满12人得3分，每超出1人得0.2分；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工程咨询乙级资信单位满6人得3分，每超出1人得0.5分。</w:t>
            </w:r>
          </w:p>
        </w:tc>
        <w:tc>
          <w:tcPr>
            <w:tcW w:w="7163" w:type="dxa"/>
            <w:noWrap w:val="0"/>
            <w:vAlign w:val="center"/>
          </w:tcPr>
          <w:p>
            <w:pPr>
              <w:keepNext w:val="0"/>
              <w:keepLines w:val="0"/>
              <w:widowControl/>
              <w:numPr>
                <w:ilvl w:val="0"/>
                <w:numId w:val="1"/>
              </w:numPr>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证明材料：本单位执业登记证书，须包含水利水电专业；</w:t>
            </w:r>
          </w:p>
          <w:p>
            <w:pPr>
              <w:keepNext w:val="0"/>
              <w:keepLines w:val="0"/>
              <w:widowControl/>
              <w:numPr>
                <w:ilvl w:val="0"/>
                <w:numId w:val="1"/>
              </w:numPr>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一人同时有多本证的，只计一次；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（3）若发生人员离职、证书注销等情况，单位未在1个月内及时更新，该人次信息不得分，且每人次罚扣1分，持续3个月。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p>
        </w:tc>
        <w:tc>
          <w:tcPr>
            <w:tcW w:w="91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持有水利职称证书人数</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工程咨询甲级资信单位，正高级工程师0.5分/人、高级工程师0.3分/人、工程师0.2分/人，总分达到3分后，超出部分按正高级工程师0.3分/人、高级工程师0.2分/人、工程师0.1分/人计算；</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工程咨询乙级资信单位，正高级工程师1分/人、高级工程师0.8分/人、工程师0.4分/人，总分达到3分后，超出部分按正高级工程师0.5分/人、高级工程师0.4分/人、工程师0.2分/人计算。</w:t>
            </w:r>
          </w:p>
        </w:tc>
        <w:tc>
          <w:tcPr>
            <w:tcW w:w="7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（1）证明材料：职称证书或任职资</w:t>
            </w:r>
            <w:r>
              <w:rPr>
                <w:rFonts w:hint="default" w:ascii="Times New Roman" w:hAnsi="Times New Roman" w:eastAsia="仿宋_GB2312" w:cs="Times New Roman"/>
                <w:i w:val="0"/>
                <w:iCs w:val="0"/>
                <w:color w:val="000000"/>
                <w:kern w:val="0"/>
                <w:sz w:val="22"/>
                <w:szCs w:val="22"/>
                <w:highlight w:val="none"/>
                <w:u w:val="none"/>
                <w:lang w:val="en-US" w:eastAsia="zh-CN" w:bidi="ar"/>
              </w:rPr>
              <w:t>格文件，及缴纳社保参保证明；</w:t>
            </w:r>
            <w:r>
              <w:rPr>
                <w:rFonts w:hint="default" w:ascii="Times New Roman" w:hAnsi="Times New Roman" w:eastAsia="仿宋_GB2312" w:cs="Times New Roman"/>
                <w:i w:val="0"/>
                <w:iCs w:val="0"/>
                <w:color w:val="000000"/>
                <w:kern w:val="0"/>
                <w:sz w:val="22"/>
                <w:szCs w:val="22"/>
                <w:highlight w:val="none"/>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（2）一人同时有多本证的，只计一次；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（3）若发生人员离职、证书注销等情况，企业未在1个月内及时更新，该人次信息不得分，且每人次罚扣1分，持续3个月。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体系认证</w:t>
            </w: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04"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三体系认证</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7163" w:type="dxa"/>
            <w:vMerge w:val="restart"/>
            <w:noWrap w:val="0"/>
            <w:vAlign w:val="center"/>
          </w:tcPr>
          <w:p>
            <w:pPr>
              <w:keepNext w:val="0"/>
              <w:keepLines w:val="0"/>
              <w:widowControl/>
              <w:numPr>
                <w:ilvl w:val="0"/>
                <w:numId w:val="2"/>
              </w:numPr>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获得质量管理体系认证证书、环境管理体系认证证书、职业健康安全管理体系认证证书且在有效期的；</w:t>
            </w:r>
          </w:p>
          <w:p>
            <w:pPr>
              <w:keepNext w:val="0"/>
              <w:keepLines w:val="0"/>
              <w:widowControl/>
              <w:numPr>
                <w:ilvl w:val="0"/>
                <w:numId w:val="2"/>
              </w:numPr>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经核查发现申报信息不实的，该项不得分并罚扣1.5分，扣分持续6个月。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技术引领（8.5分）</w:t>
            </w:r>
          </w:p>
        </w:tc>
        <w:tc>
          <w:tcPr>
            <w:tcW w:w="1162" w:type="dxa"/>
            <w:vMerge w:val="restar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水利工程咨询类奖项获奖情况</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6</w:t>
            </w:r>
          </w:p>
        </w:tc>
        <w:tc>
          <w:tcPr>
            <w:tcW w:w="1704"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评价时间向前追溯5年范围内</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国际菲迪克奖</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卓越奖6分/项，杰出奖5.5分/项，优秀奖5分/项。</w:t>
            </w:r>
          </w:p>
        </w:tc>
        <w:tc>
          <w:tcPr>
            <w:tcW w:w="7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（1）同一项目多次获奖，按最高奖项计分，不累计；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（2）时间以获奖证书、证明或公告截图注明时间为准；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（3）中国水利优质工程（大禹）奖获奖证书或获奖文件以咨询单位角色获奖；</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（4）经核查发现申报不实的，该项不得分并每项罚扣3分，扣分持续6个月。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highlight w:val="none"/>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highlight w:val="none"/>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highlight w:val="none"/>
                <w:u w:val="none"/>
              </w:rPr>
            </w:pP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国家科学技术进步奖</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特等奖6分/项，一等奖5.5分/项，二等将5分/项。</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highlight w:val="none"/>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highlight w:val="none"/>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highlight w:val="none"/>
                <w:u w:val="none"/>
              </w:rPr>
            </w:pP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全国工程咨询优秀成果奖、省部级科学技术进步奖</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一等奖5分/项，二等奖4.5分/项，三等将4分/项。</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highlight w:val="none"/>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highlight w:val="none"/>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highlight w:val="none"/>
                <w:u w:val="none"/>
              </w:rPr>
            </w:pP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中国水利优质工程（大禹）奖</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5分/项</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highlight w:val="none"/>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highlight w:val="none"/>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highlight w:val="none"/>
                <w:u w:val="none"/>
              </w:rPr>
            </w:pP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省级工程咨询优秀成果奖</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一等奖4分/项，二等奖3.5分/项，三等奖3分/项。</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04" w:type="dxa"/>
            <w:vMerge w:val="continue"/>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p>
        </w:tc>
        <w:tc>
          <w:tcPr>
            <w:tcW w:w="3311"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获得政府、水行政主管部门及咨询协会表彰或荣誉</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政府表彰：国家级1.5分/项，省级1分/项，市级0.5分/项。</w:t>
            </w:r>
          </w:p>
        </w:tc>
        <w:tc>
          <w:tcPr>
            <w:tcW w:w="7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（1）时间以证书或表彰文件注明的时间为准；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（2）经核查发现申报不实的，该项不得分并罚扣1分，扣分持续6个月。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11"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水行政主管部门表彰：部级1分/项，厅级0.5分/项。</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11"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行业协会表彰或荣誉：中国工程咨询协会颁发的1分/项，省级工程咨询协会颁发的0.5分/项。</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noWrap w:val="0"/>
            <w:vAlign w:val="center"/>
          </w:tcPr>
          <w:p>
            <w:pPr>
              <w:jc w:val="left"/>
              <w:rPr>
                <w:rFonts w:hint="default" w:ascii="Times New Roman" w:hAnsi="Times New Roman" w:eastAsia="仿宋_GB2312" w:cs="Times New Roman"/>
                <w:i w:val="0"/>
                <w:iCs w:val="0"/>
                <w:color w:val="000000"/>
                <w:sz w:val="22"/>
                <w:szCs w:val="22"/>
                <w:u w:val="none"/>
                <w:lang w:eastAsia="zh-CN"/>
              </w:rPr>
            </w:pPr>
            <w:r>
              <w:rPr>
                <w:rFonts w:hint="default" w:ascii="Times New Roman" w:hAnsi="Times New Roman" w:eastAsia="仿宋_GB2312" w:cs="Times New Roman"/>
                <w:i w:val="0"/>
                <w:iCs w:val="0"/>
                <w:color w:val="000000"/>
                <w:sz w:val="22"/>
                <w:szCs w:val="22"/>
                <w:u w:val="none"/>
                <w:lang w:eastAsia="zh-CN"/>
              </w:rPr>
              <w:t>技术标准</w:t>
            </w: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11"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单位主编或参编水利建设相关技术标准</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主编国家、行业标准1分/项</w:t>
            </w:r>
          </w:p>
        </w:tc>
        <w:tc>
          <w:tcPr>
            <w:tcW w:w="7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（1）以标准发布时间为准；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（2）以标准化主管机构或专业主管部门批准发布的国家标准、行业标准、地方标准、团体标准及有关说明为准；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（3）水利建设相关技术标准范围以水利部门官网提供的标准查询为准；（4）证明材料包括标准封面及参评单位主编或参编页面；</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（5）经核查发现申报不实的，该项不得分并罚扣1分，扣分持续6个月。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11"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参编国家、行业标准，主编地方、团体标准0.5分/项</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11"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参编地方、团体标准0.3分/项</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人员行为（10分）</w:t>
            </w:r>
          </w:p>
        </w:tc>
        <w:tc>
          <w:tcPr>
            <w:tcW w:w="1162"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单位从业人员信用情况</w:t>
            </w: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企业的法定代表人、直接责任人等因违反招标投标相关法律法规被行政处罚的</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（1）从业人员行为与行政处罚决定书或生效判决书注明的企业相关联；</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（2）同一违法违规事件同一责任人的，按照就高扣分；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（3）人员离职、退休等情况不影响计分时限；</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（4）时间以处罚时间和判决生效时间为准。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企业的法定代表人、直接责任人等因违反招投标投标相关法律法规被追究刑事责任的</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行业自律（2分）</w:t>
            </w:r>
          </w:p>
        </w:tc>
        <w:tc>
          <w:tcPr>
            <w:tcW w:w="1162"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行业组织</w:t>
            </w:r>
          </w:p>
        </w:tc>
        <w:tc>
          <w:tcPr>
            <w:tcW w:w="91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参加本行业自律组织情况</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省级及以上工程咨询协会副会长单位得2分、理事单位得1.5分、会员单位得1分。</w:t>
            </w:r>
          </w:p>
        </w:tc>
        <w:tc>
          <w:tcPr>
            <w:tcW w:w="7163" w:type="dxa"/>
            <w:noWrap w:val="0"/>
            <w:vAlign w:val="center"/>
          </w:tcPr>
          <w:p>
            <w:pPr>
              <w:keepNext w:val="0"/>
              <w:keepLines w:val="0"/>
              <w:widowControl/>
              <w:numPr>
                <w:ilvl w:val="0"/>
                <w:numId w:val="3"/>
              </w:numPr>
              <w:suppressLineNumbers w:val="0"/>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提供文件、通知等证明材料，同时具备的取高档计分；</w:t>
            </w:r>
          </w:p>
          <w:p>
            <w:pPr>
              <w:keepNext w:val="0"/>
              <w:keepLines w:val="0"/>
              <w:widowControl/>
              <w:numPr>
                <w:ilvl w:val="0"/>
                <w:numId w:val="3"/>
              </w:numPr>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经核查发现申报不实的，该项不得分并罚扣相应分值，扣分持续6个月。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25"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市场行为</w:t>
            </w:r>
          </w:p>
        </w:tc>
        <w:tc>
          <w:tcPr>
            <w:tcW w:w="1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行政监督检查（25分）</w:t>
            </w:r>
          </w:p>
        </w:tc>
        <w:tc>
          <w:tcPr>
            <w:tcW w:w="1162"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行政监督</w:t>
            </w: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被各级水行政主管部门、水利质量安全监督机构作出约谈、情况通报、责令改正等行政处理意见</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时间以行政文书发出日期为准。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被各级水行政主管部门作出警告、通报批评、罚款、没收违法所得、没收非法财务、暂扣许可证件等行政处罚意见</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（1）时间以行政处罚决定文书发出日期为准。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（2）行政处罚信息通过浙江省一体化数字资源系统（IRS）共享获取。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被各级水行政主管部门作出吊销许可证件、降低资质等级、责令关闭、责令停产停业、限制开展生产经营活动、限制从业、不得申请行政许可等行政处罚意见</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被水行政主管部门以外的执法部门作出行政处罚意见</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63"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招投标监管（25分）</w:t>
            </w:r>
          </w:p>
        </w:tc>
        <w:tc>
          <w:tcPr>
            <w:tcW w:w="1162"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投标行为</w:t>
            </w:r>
          </w:p>
        </w:tc>
        <w:tc>
          <w:tcPr>
            <w:tcW w:w="910" w:type="dxa"/>
            <w:vMerge w:val="restar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704" w:type="dxa"/>
            <w:vMerge w:val="restar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评标过程中被发现评标委员会认定为低于成本价报价的，投标人无法说明低价合理性的</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（2）信息追溯时间以评标报告时间为准。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中标候选人公示期间违反招标文件不得放弃中标的约定而放弃中标的</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-2.5分/次</w:t>
            </w:r>
          </w:p>
        </w:tc>
        <w:tc>
          <w:tcPr>
            <w:tcW w:w="7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（2）信息追溯时间以招投标书面情况报告时间为准。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中标通知书公告发出后放弃中标资格，无正当理由拒绝签订书面合同或中标人未按招标文件约定的时间和要求提供履约保函或保证金的</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-5分/次</w:t>
            </w:r>
          </w:p>
        </w:tc>
        <w:tc>
          <w:tcPr>
            <w:tcW w:w="7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（1）以备案的招投标书面情况报告为准；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（2）信息追溯时间以中标通知书发出30天为准；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被查实恶意虚假举报的</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时间以被认定为恶意举报时间为准。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25"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3" w:type="dxa"/>
            <w:vMerge w:val="continue"/>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10" w:type="dxa"/>
            <w:vMerge w:val="continue"/>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704"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11"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被省招投标智慧监管监督系统预警并查实的</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-0.5分/次</w:t>
            </w:r>
          </w:p>
        </w:tc>
        <w:tc>
          <w:tcPr>
            <w:tcW w:w="7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（1）扣分从预警查实之日起，持续1个月；</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（2）该项最高扣3分。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w:t>
            </w:r>
          </w:p>
        </w:tc>
        <w:tc>
          <w:tcPr>
            <w:tcW w:w="1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公共信用评价（10分）</w:t>
            </w:r>
          </w:p>
        </w:tc>
        <w:tc>
          <w:tcPr>
            <w:tcW w:w="1162"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w:t>
            </w:r>
          </w:p>
        </w:tc>
        <w:tc>
          <w:tcPr>
            <w:tcW w:w="91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5015" w:type="dxa"/>
            <w:gridSpan w:val="2"/>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国家信用中心最新结果</w:t>
            </w:r>
          </w:p>
        </w:tc>
        <w:tc>
          <w:tcPr>
            <w:tcW w:w="53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公共信用评价得分*权重系数</w:t>
            </w:r>
          </w:p>
        </w:tc>
        <w:tc>
          <w:tcPr>
            <w:tcW w:w="7163"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（1）该项分值通过共享国家信用中心结果得到；</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（2）缺少共享数据的按中位数赋分。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5"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总分</w:t>
            </w:r>
          </w:p>
        </w:tc>
        <w:tc>
          <w:tcPr>
            <w:tcW w:w="20738" w:type="dxa"/>
            <w:gridSpan w:val="7"/>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100分</w:t>
            </w:r>
          </w:p>
        </w:tc>
      </w:tr>
    </w:tbl>
    <w:p>
      <w:pPr>
        <w:rPr>
          <w:rFonts w:hint="eastAsia" w:ascii="Times New Roman" w:hAnsi="Times New Roman" w:eastAsia="仿宋" w:cs="Times New Roman"/>
          <w:b w:val="0"/>
          <w:bCs w:val="0"/>
          <w:color w:val="auto"/>
          <w:kern w:val="2"/>
          <w:sz w:val="32"/>
          <w:szCs w:val="32"/>
          <w:highlight w:val="none"/>
          <w:shd w:val="clear" w:color="auto" w:fill="FFFFFF"/>
          <w:lang w:eastAsia="zh-CN"/>
        </w:rPr>
      </w:pPr>
      <w:r>
        <w:rPr>
          <w:rFonts w:hint="eastAsia" w:ascii="Times New Roman" w:hAnsi="Times New Roman" w:eastAsia="仿宋" w:cs="Times New Roman"/>
          <w:b w:val="0"/>
          <w:bCs w:val="0"/>
          <w:color w:val="auto"/>
          <w:kern w:val="2"/>
          <w:sz w:val="32"/>
          <w:szCs w:val="32"/>
          <w:highlight w:val="none"/>
          <w:shd w:val="clear" w:color="auto" w:fill="FFFFFF"/>
          <w:lang w:eastAsia="zh-CN"/>
        </w:rPr>
        <w:br w:type="page"/>
      </w:r>
    </w:p>
    <w:p>
      <w:pPr>
        <w:jc w:val="center"/>
        <w:rPr>
          <w:rFonts w:hint="default" w:ascii="Times New Roman" w:hAnsi="Times New Roman" w:eastAsia="方正小标宋简体" w:cs="Times New Roman"/>
          <w:i w:val="0"/>
          <w:iCs w:val="0"/>
          <w:color w:val="000000"/>
          <w:kern w:val="0"/>
          <w:sz w:val="40"/>
          <w:szCs w:val="40"/>
          <w:u w:val="none"/>
          <w:lang w:val="en-US" w:eastAsia="zh-CN" w:bidi="ar"/>
        </w:rPr>
      </w:pPr>
      <w:r>
        <w:rPr>
          <w:rFonts w:hint="default" w:ascii="Times New Roman" w:hAnsi="Times New Roman" w:eastAsia="方正小标宋简体" w:cs="Times New Roman"/>
          <w:i w:val="0"/>
          <w:iCs w:val="0"/>
          <w:color w:val="000000"/>
          <w:kern w:val="0"/>
          <w:sz w:val="40"/>
          <w:szCs w:val="40"/>
          <w:u w:val="none"/>
          <w:lang w:val="en-US" w:eastAsia="zh-CN" w:bidi="ar"/>
        </w:rPr>
        <w:t>浙江省水利建设市场主体信用评价指标（检测单位）</w:t>
      </w:r>
    </w:p>
    <w:tbl>
      <w:tblPr>
        <w:tblStyle w:val="17"/>
        <w:tblW w:w="218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3"/>
        <w:gridCol w:w="1125"/>
        <w:gridCol w:w="1162"/>
        <w:gridCol w:w="939"/>
        <w:gridCol w:w="1648"/>
        <w:gridCol w:w="3338"/>
        <w:gridCol w:w="5325"/>
        <w:gridCol w:w="7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jc w:val="center"/>
        </w:trPr>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一级指标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二级指标</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三级指标</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分值（分）</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计分时限（信息有效性）</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计分项</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赋分标准</w:t>
            </w:r>
          </w:p>
        </w:tc>
        <w:tc>
          <w:tcPr>
            <w:tcW w:w="7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履约能力</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企业状况（18分）</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检测年产值</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单位年度产值</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2分×年度产值（万元）/1000万元</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（1）由检测单位提供所承接的施工自检、监理平行抽检、第三方检测、飞检等水利工程质量检测项目的合同及年度财务报表;</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（2）经核查发现申报信息不实的，该项合同业绩不得分并罚扣1分，扣分持续6个月。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检测合同数量</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已签订的合同个数</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0.2分/项</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检测场所</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试验检测用房使用面积（不含办公面积）达到1000平米及以上</w:t>
            </w:r>
          </w:p>
        </w:tc>
        <w:tc>
          <w:tcPr>
            <w:tcW w:w="53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2分（未达到标准的，按每少于100平米扣0.3分）</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（1）由检测单位提供产权、租赁合同等；</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（2）因检测场所调整及面积调整，企业未及时更新，或上报材料不实的，该项指标不得分并罚扣2分，扣分持续6个月。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333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333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检测参数</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检测单位计量认证检测参数在符合水利部</w:t>
            </w:r>
            <w:r>
              <w:rPr>
                <w:rFonts w:hint="default" w:ascii="Times New Roman" w:hAnsi="Times New Roman" w:eastAsia="仿宋_GB2312" w:cs="Times New Roman"/>
                <w:i w:val="0"/>
                <w:iCs w:val="0"/>
                <w:color w:val="000000"/>
                <w:kern w:val="0"/>
                <w:sz w:val="24"/>
                <w:szCs w:val="24"/>
                <w:u w:val="none"/>
                <w:lang w:val="en-US" w:eastAsia="zh-CN" w:bidi="ar"/>
              </w:rPr>
              <w:t>36</w:t>
            </w:r>
            <w:r>
              <w:rPr>
                <w:rStyle w:val="42"/>
                <w:rFonts w:hint="default" w:ascii="Times New Roman" w:hAnsi="Times New Roman" w:cs="Times New Roman"/>
                <w:lang w:val="en-US" w:eastAsia="zh-CN" w:bidi="ar"/>
              </w:rPr>
              <w:t>号令规定参数的基础上，符合水利水电工程行业检测方法标准的参数每超出</w:t>
            </w:r>
            <w:r>
              <w:rPr>
                <w:rFonts w:hint="default" w:ascii="Times New Roman" w:hAnsi="Times New Roman" w:eastAsia="仿宋_GB2312" w:cs="Times New Roman"/>
                <w:i w:val="0"/>
                <w:iCs w:val="0"/>
                <w:color w:val="000000"/>
                <w:kern w:val="0"/>
                <w:sz w:val="24"/>
                <w:szCs w:val="24"/>
                <w:u w:val="none"/>
                <w:lang w:val="en-US" w:eastAsia="zh-CN" w:bidi="ar"/>
              </w:rPr>
              <w:t>20</w:t>
            </w:r>
            <w:r>
              <w:rPr>
                <w:rStyle w:val="42"/>
                <w:rFonts w:hint="default" w:ascii="Times New Roman" w:hAnsi="Times New Roman" w:cs="Times New Roman"/>
                <w:lang w:val="en-US" w:eastAsia="zh-CN" w:bidi="ar"/>
              </w:rPr>
              <w:t>个得0.4分</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0.4分/</w:t>
            </w:r>
            <w:r>
              <w:rPr>
                <w:rStyle w:val="42"/>
                <w:rFonts w:hint="default" w:ascii="Times New Roman" w:hAnsi="Times New Roman" w:cs="Times New Roman"/>
                <w:lang w:val="en-US" w:eastAsia="zh-CN" w:bidi="ar"/>
              </w:rPr>
              <w:t>档</w:t>
            </w:r>
          </w:p>
        </w:tc>
        <w:tc>
          <w:tcPr>
            <w:tcW w:w="7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由检测单位提供在有效期内的参数能力证明材料。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检测设备</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检测单位自主拥有设备原值</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2分×设备原值（万元）/300万元</w:t>
            </w:r>
          </w:p>
        </w:tc>
        <w:tc>
          <w:tcPr>
            <w:tcW w:w="7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（1）由检测单位提供相应设备清单及采购发票等资料；</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（2）核查发现申报信息不实的，该项指标不得分并罚扣1分，扣分持续6个月。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检测人员</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从事检测工作且有社会保险记录人员数量</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0.1分/人</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（1）由检测单位提供检测员职称、聘用合同、机构人员社保等相关资料；</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（2）经核查发现人员申报信息不实的，该项信息不得分并每人次罚扣1分，扣分持续6个月。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依法签订用工合同，按时、足额缴纳全体员工养老、工伤、失业等社会保险（退休人员除外），按0.2分/人计</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0.2分/人</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数字赋能（4分）</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检测管理数字化</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已在浙江省水利工程质量检测服务平台进行数字化信息登记，且信息齐全的</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（1）从检测服务平台调取数据对资料进行核实；</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（2）发现检测报告未在浙江省水利工程质量检测服务平台登记的，每发现一起扣1分，扣分持续6个月。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浙江省水利工程质量检测服务平台登记信息完整度</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按信息完整率×1分</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利用浙江省水利工程质量检测服务平台并实现数据实时同步</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管理规范（3分）</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管理制度</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具有生产经营、质量管理、风险控制、人力资源、财务资产等制度</w:t>
            </w:r>
          </w:p>
        </w:tc>
        <w:tc>
          <w:tcPr>
            <w:tcW w:w="53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1.5分</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80" w:lineRule="exact"/>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由检测单位提供机构相应管理制度。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体系认证</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实时数据</w:t>
            </w:r>
          </w:p>
        </w:tc>
        <w:tc>
          <w:tcPr>
            <w:tcW w:w="33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具有有效的CNAS、CMA、ISO认证证书</w:t>
            </w:r>
          </w:p>
        </w:tc>
        <w:tc>
          <w:tcPr>
            <w:tcW w:w="53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（1）由检测单位提供机构相应证书材料；</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（2）经核查发现申报信息不实的，该项信息不得分并每项罚扣0.5分，扣分持续6个月。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default" w:ascii="Times New Roman" w:hAnsi="Times New Roman" w:eastAsia="仿宋_GB2312" w:cs="Times New Roman"/>
                <w:b/>
                <w:bCs/>
                <w:i w:val="0"/>
                <w:iCs w:val="0"/>
                <w:color w:val="000000"/>
                <w:kern w:val="0"/>
                <w:sz w:val="22"/>
                <w:szCs w:val="22"/>
                <w:u w:val="none"/>
                <w:lang w:val="en-US" w:eastAsia="zh-CN" w:bidi="ar"/>
              </w:rPr>
            </w:pP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br w:type="textWrapping"/>
            </w:r>
          </w:p>
          <w:p>
            <w:pPr>
              <w:keepNext w:val="0"/>
              <w:keepLines w:val="0"/>
              <w:widowControl/>
              <w:suppressLineNumbers w:val="0"/>
              <w:jc w:val="left"/>
              <w:textAlignment w:val="top"/>
              <w:rPr>
                <w:rFonts w:hint="default" w:ascii="Times New Roman" w:hAnsi="Times New Roman" w:eastAsia="仿宋_GB2312" w:cs="Times New Roman"/>
                <w:b/>
                <w:bCs/>
                <w:i w:val="0"/>
                <w:iCs w:val="0"/>
                <w:color w:val="000000"/>
                <w:kern w:val="0"/>
                <w:sz w:val="22"/>
                <w:szCs w:val="22"/>
                <w:u w:val="none"/>
                <w:lang w:val="en-US" w:eastAsia="zh-CN" w:bidi="ar"/>
              </w:rPr>
            </w:pPr>
          </w:p>
          <w:p>
            <w:pPr>
              <w:keepNext w:val="0"/>
              <w:keepLines w:val="0"/>
              <w:widowControl/>
              <w:suppressLineNumbers w:val="0"/>
              <w:jc w:val="left"/>
              <w:textAlignment w:val="top"/>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br w:type="textWrapping"/>
            </w:r>
            <w:r>
              <w:rPr>
                <w:rFonts w:hint="default" w:ascii="Times New Roman" w:hAnsi="Times New Roman" w:eastAsia="仿宋_GB2312" w:cs="Times New Roman"/>
                <w:b/>
                <w:bCs/>
                <w:i w:val="0"/>
                <w:iCs w:val="0"/>
                <w:color w:val="000000"/>
                <w:kern w:val="0"/>
                <w:sz w:val="22"/>
                <w:szCs w:val="22"/>
                <w:u w:val="none"/>
                <w:lang w:val="en-US" w:eastAsia="zh-CN" w:bidi="ar"/>
              </w:rPr>
              <w:t>技术引领（5分）</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标准制定</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648"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评价时间向前追溯5年范围内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主编国家、行业标准</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（1）以标准发布时间为准；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（2）证明材料包括标准封面及本单位主编或参编页面以及全国标准信息公共服务平台、全国团体信息标准平台的查询页面截图；</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（3）经核查发现申报信息不实的，该项不得分并每项罚扣1分，扣分持续6个月。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参编国家、行业标准，主编地方、团体标准</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0.8分/项</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参编地方、团体标准</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工作表彰</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省部级科技奖</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1.5分/项</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（1）同一项目多次获奖，按最高奖项计分，不累计；</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（2）时间以获奖证书、证明或公告截图注明时间为准；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（3）经核查发现申报信息不实的，该项不得分并每项罚扣1分，扣分持续6个月。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省部级水行政主管部门和省级水利行业协会表彰表彰</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1分/项</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省级其他部门表彰和地市级水行政主管部门表彰</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0.5分/项</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人员行为（10分）</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单位从业人员信用情况</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企业的法定代表人、直接责任人等因违反建设工程质量管理法律法规被行政处罚的</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（1）从业人员行为与行政处罚决定书或生效判决书注明的企业相关联；</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（2）人员离职、退休等情况不影响计分时限；</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（3）时间以处罚时间和判决生效时间为准。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企业的法定代表人、直接责任人等因违反建设工程质量管理法律法规被追究刑事责任的</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企业的法定代表人、直接责任人等因违反安全生产管理法律法规被行政处罚的</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企业的法定代表人、直接责任人等因违反安全生产管理法律法规，被追究刑事责任的</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投标活动中企业的法定代表人、直接责任人等因违反招标投标法律法规被行政处罚的</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投标活动中企业的法定代表人、直接责任人等因违反招标投标法律法规被追究刑事责任的</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-2分/人次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市场行为</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监督检查（20分）</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行政监督</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被各级水行政主管部门、水利质量安全监督机构作出约谈、情况通报、责令改正等行政处理意见</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时间以行政文书发出日期为准。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被各级水行政主管部门作出警告、通报批评、罚款、没收违法所得、没收非法财务、暂扣许可证件等行政处罚意见</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（1）时间以行政处罚决定文书发出日期为准；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（2）行政处罚信息通过浙江省一体化数字资源系统（IRS）共享获取。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评价时间向前追溯3年范围内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被各级水行政主管部门作出吊销许可证件、降低资质等级、责令关闭、责令停产停业、限制开展生产经营活动、限制从业、不得申请行政许可等行政处罚意见</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-2分/次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被水行政主管部门以外的执法部门作出行政处罚意见</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质量监督</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评价时的上四个季度</w:t>
            </w:r>
          </w:p>
        </w:tc>
        <w:tc>
          <w:tcPr>
            <w:tcW w:w="33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在建项目施工现场评价</w:t>
            </w:r>
          </w:p>
        </w:tc>
        <w:tc>
          <w:tcPr>
            <w:tcW w:w="53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宋体" w:cs="Times New Roman"/>
                <w:i/>
                <w:color w:val="000000"/>
                <w:kern w:val="2"/>
                <w:sz w:val="22"/>
                <w:szCs w:val="22"/>
                <w:u w:val="none"/>
                <w:lang w:bidi="ar"/>
              </w:rPr>
              <w:t>S=</w:t>
            </w:r>
            <w:r>
              <w:rPr>
                <w:rFonts w:hint="default" w:ascii="Times New Roman" w:hAnsi="Times New Roman" w:eastAsia="汉仪方隶简" w:cs="Times New Roman"/>
                <w:i/>
                <w:iCs w:val="0"/>
                <w:color w:val="000000"/>
                <w:kern w:val="2"/>
                <w:sz w:val="22"/>
                <w:szCs w:val="22"/>
                <w:u w:val="none"/>
                <w:lang w:val="en-US" w:eastAsia="zh-CN" w:bidi="ar"/>
              </w:rPr>
              <w:t>－</w:t>
            </w:r>
            <m:oMath>
              <m:f>
                <m:fPr>
                  <m:ctrlPr>
                    <w:rPr>
                      <w:rFonts w:hint="default" w:ascii="Cambria Math" w:hAnsi="Cambria Math" w:cs="Times New Roman"/>
                      <w:i/>
                      <w:iCs w:val="0"/>
                      <w:color w:val="000000"/>
                      <w:kern w:val="2"/>
                      <w:sz w:val="22"/>
                      <w:szCs w:val="22"/>
                      <w:u w:val="none"/>
                      <w:lang w:val="en-US" w:bidi="ar-SA"/>
                    </w:rPr>
                  </m:ctrlPr>
                </m:fPr>
                <m:num>
                  <m:r>
                    <m:rPr/>
                    <w:rPr>
                      <w:rFonts w:hint="default" w:ascii="Cambria Math" w:hAnsi="Cambria Math" w:cs="Times New Roman"/>
                      <w:color w:val="000000"/>
                      <w:kern w:val="2"/>
                      <w:sz w:val="22"/>
                      <w:szCs w:val="22"/>
                      <w:u w:val="none"/>
                      <w:lang w:val="en-US" w:eastAsia="zh-CN" w:bidi="ar-SA"/>
                    </w:rPr>
                    <m:t>1</m:t>
                  </m:r>
                  <m:ctrlPr>
                    <w:rPr>
                      <w:rFonts w:hint="default" w:ascii="Cambria Math" w:hAnsi="Cambria Math" w:cs="Times New Roman"/>
                      <w:i/>
                      <w:iCs w:val="0"/>
                      <w:color w:val="000000"/>
                      <w:kern w:val="2"/>
                      <w:sz w:val="22"/>
                      <w:szCs w:val="22"/>
                      <w:u w:val="none"/>
                      <w:lang w:val="en-US" w:bidi="ar-SA"/>
                    </w:rPr>
                  </m:ctrlPr>
                </m:num>
                <m:den>
                  <m:r>
                    <m:rPr/>
                    <w:rPr>
                      <w:rFonts w:hint="default" w:ascii="Cambria Math" w:hAnsi="Cambria Math" w:cs="Times New Roman"/>
                      <w:color w:val="000000"/>
                      <w:kern w:val="2"/>
                      <w:sz w:val="22"/>
                      <w:szCs w:val="22"/>
                      <w:u w:val="none"/>
                      <w:lang w:val="en-US" w:eastAsia="zh-CN" w:bidi="ar-SA"/>
                    </w:rPr>
                    <m:t>n</m:t>
                  </m:r>
                  <m:ctrlPr>
                    <w:rPr>
                      <w:rFonts w:hint="default" w:ascii="Cambria Math" w:hAnsi="Cambria Math" w:cs="Times New Roman"/>
                      <w:i/>
                      <w:iCs w:val="0"/>
                      <w:color w:val="000000"/>
                      <w:kern w:val="2"/>
                      <w:sz w:val="22"/>
                      <w:szCs w:val="22"/>
                      <w:u w:val="none"/>
                      <w:lang w:val="en-US" w:bidi="ar-SA"/>
                    </w:rPr>
                  </m:ctrlPr>
                </m:den>
              </m:f>
              <m:nary>
                <m:naryPr>
                  <m:chr m:val="∑"/>
                  <m:limLoc m:val="undOvr"/>
                  <m:ctrlPr>
                    <w:rPr>
                      <w:rFonts w:hint="default" w:ascii="Cambria Math" w:hAnsi="Cambria Math" w:cs="Times New Roman"/>
                      <w:i/>
                      <w:iCs w:val="0"/>
                      <w:color w:val="000000"/>
                      <w:kern w:val="2"/>
                      <w:sz w:val="22"/>
                      <w:szCs w:val="22"/>
                      <w:u w:val="none"/>
                      <w:lang w:val="en-US" w:bidi="ar-SA"/>
                    </w:rPr>
                  </m:ctrlPr>
                </m:naryPr>
                <m:sub>
                  <m:r>
                    <m:rPr/>
                    <w:rPr>
                      <w:rFonts w:hint="default" w:ascii="Cambria Math" w:hAnsi="Cambria Math" w:cs="Times New Roman"/>
                      <w:color w:val="000000"/>
                      <w:kern w:val="2"/>
                      <w:sz w:val="22"/>
                      <w:szCs w:val="22"/>
                      <w:u w:val="none"/>
                      <w:lang w:val="en-US" w:eastAsia="zh-CN" w:bidi="ar-SA"/>
                    </w:rPr>
                    <m:t>i=1</m:t>
                  </m:r>
                  <m:ctrlPr>
                    <w:rPr>
                      <w:rFonts w:hint="default" w:ascii="Cambria Math" w:hAnsi="Cambria Math" w:cs="Times New Roman"/>
                      <w:i/>
                      <w:iCs w:val="0"/>
                      <w:color w:val="000000"/>
                      <w:kern w:val="2"/>
                      <w:sz w:val="22"/>
                      <w:szCs w:val="22"/>
                      <w:u w:val="none"/>
                      <w:lang w:val="en-US" w:bidi="ar-SA"/>
                    </w:rPr>
                  </m:ctrlPr>
                </m:sub>
                <m:sup>
                  <m:r>
                    <m:rPr/>
                    <w:rPr>
                      <w:rFonts w:hint="default" w:ascii="Cambria Math" w:hAnsi="Cambria Math" w:cs="Times New Roman"/>
                      <w:color w:val="000000"/>
                      <w:kern w:val="2"/>
                      <w:sz w:val="22"/>
                      <w:szCs w:val="22"/>
                      <w:u w:val="none"/>
                      <w:lang w:val="en-US" w:eastAsia="zh-CN" w:bidi="ar-SA"/>
                    </w:rPr>
                    <m:t>n</m:t>
                  </m:r>
                  <m:ctrlPr>
                    <w:rPr>
                      <w:rFonts w:hint="default" w:ascii="Cambria Math" w:hAnsi="Cambria Math" w:cs="Times New Roman"/>
                      <w:i/>
                      <w:iCs w:val="0"/>
                      <w:color w:val="000000"/>
                      <w:kern w:val="2"/>
                      <w:sz w:val="22"/>
                      <w:szCs w:val="22"/>
                      <w:u w:val="none"/>
                      <w:lang w:val="en-US" w:bidi="ar-SA"/>
                    </w:rPr>
                  </m:ctrlPr>
                </m:sup>
                <m:e>
                  <m:sSub>
                    <m:sSubPr>
                      <m:ctrlPr>
                        <w:rPr>
                          <w:rFonts w:hint="default" w:ascii="Cambria Math" w:hAnsi="Cambria Math" w:cs="Times New Roman"/>
                          <w:i/>
                          <w:iCs w:val="0"/>
                          <w:color w:val="000000"/>
                          <w:sz w:val="22"/>
                          <w:szCs w:val="22"/>
                          <w:u w:val="none"/>
                          <w:lang w:val="en-US" w:bidi="ar-SA"/>
                        </w:rPr>
                      </m:ctrlPr>
                    </m:sSubPr>
                    <m:e>
                      <m:r>
                        <m:rPr/>
                        <w:rPr>
                          <w:rFonts w:hint="default" w:ascii="DejaVu Math TeX Gyre" w:hAnsi="DejaVu Math TeX Gyre" w:cs="Times New Roman"/>
                          <w:color w:val="000000"/>
                          <w:sz w:val="22"/>
                          <w:szCs w:val="22"/>
                          <w:u w:val="none"/>
                          <w:lang w:val="en-US" w:eastAsia="zh-CN" w:bidi="ar-SA"/>
                        </w:rPr>
                        <m:t>l</m:t>
                      </m:r>
                      <m:ctrlPr>
                        <w:rPr>
                          <w:rFonts w:hint="default" w:ascii="Cambria Math" w:hAnsi="Cambria Math" w:cs="Times New Roman"/>
                          <w:i/>
                          <w:iCs w:val="0"/>
                          <w:color w:val="000000"/>
                          <w:sz w:val="22"/>
                          <w:szCs w:val="22"/>
                          <w:u w:val="none"/>
                          <w:lang w:val="en-US" w:bidi="ar-SA"/>
                        </w:rPr>
                      </m:ctrlPr>
                    </m:e>
                    <m:sub>
                      <m:r>
                        <m:rPr/>
                        <w:rPr>
                          <w:rFonts w:hint="default" w:ascii="DejaVu Math TeX Gyre" w:hAnsi="DejaVu Math TeX Gyre" w:cs="Times New Roman"/>
                          <w:color w:val="000000"/>
                          <w:sz w:val="22"/>
                          <w:szCs w:val="22"/>
                          <w:u w:val="none"/>
                          <w:lang w:val="en-US" w:eastAsia="zh-CN" w:bidi="ar-SA"/>
                        </w:rPr>
                        <m:t>i</m:t>
                      </m:r>
                      <m:ctrlPr>
                        <w:rPr>
                          <w:rFonts w:hint="default" w:ascii="Cambria Math" w:hAnsi="Cambria Math" w:cs="Times New Roman"/>
                          <w:i/>
                          <w:iCs w:val="0"/>
                          <w:color w:val="000000"/>
                          <w:sz w:val="22"/>
                          <w:szCs w:val="22"/>
                          <w:u w:val="none"/>
                          <w:lang w:val="en-US" w:bidi="ar-SA"/>
                        </w:rPr>
                      </m:ctrlPr>
                    </m:sub>
                  </m:sSub>
                  <m:ctrlPr>
                    <w:rPr>
                      <w:rFonts w:hint="default" w:ascii="Cambria Math" w:hAnsi="Cambria Math" w:cs="Times New Roman"/>
                      <w:i/>
                      <w:iCs w:val="0"/>
                      <w:color w:val="000000"/>
                      <w:kern w:val="2"/>
                      <w:sz w:val="22"/>
                      <w:szCs w:val="22"/>
                      <w:u w:val="none"/>
                      <w:lang w:val="en-US" w:bidi="ar-SA"/>
                    </w:rPr>
                  </m:ctrlPr>
                </m:e>
              </m:nary>
            </m:oMath>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（1）四个季度指评价时间的前四个季度，季度截止日期至季末月30或31日；</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（2）li是本企业在浙江省内前四个季度的项目每次质量监督检查问题扣分；</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（3）n是该市场主体在浙江省内项目前四个季度被检查次数。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规范从业（30分）</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人员履职</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6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评价时间向前追溯1年范围内</w:t>
            </w: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 xml:space="preserve">检查发现检测单位技术负责人与资质证书不一致  </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-3分</w:t>
            </w:r>
          </w:p>
        </w:tc>
        <w:tc>
          <w:tcPr>
            <w:tcW w:w="71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（1）在各类检查、抽查、举报核查等发现的问题；</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（2）本项累计扣分，每发现一次按人次或项次进行扣分。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使用不符合条件的检测人员</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-1分/人次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仪器设备</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设备未定期校准或校准不合格</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-1分/台次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检测行为</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出具虚假或不实检测报告</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-5分/次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检测报告出具不及时、取样或检测不规范</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使用已废止检测标准</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-1分/次</w:t>
            </w:r>
          </w:p>
        </w:tc>
        <w:tc>
          <w:tcPr>
            <w:tcW w:w="7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iCs w:val="0"/>
                <w:color w:val="000000"/>
                <w:sz w:val="22"/>
                <w:szCs w:val="22"/>
                <w:u w:val="none"/>
              </w:rPr>
            </w:pPr>
          </w:p>
        </w:tc>
        <w:tc>
          <w:tcPr>
            <w:tcW w:w="1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3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未参加比对试验能力验证活动</w:t>
            </w:r>
          </w:p>
        </w:tc>
        <w:tc>
          <w:tcPr>
            <w:tcW w:w="5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-1分</w:t>
            </w:r>
          </w:p>
        </w:tc>
        <w:tc>
          <w:tcPr>
            <w:tcW w:w="7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以浙江水利工程检测协会提供证明材料为准。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公共信用评价（10分）</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4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国家信用中心最新结果</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公共信用评价得分*权重系数</w:t>
            </w:r>
          </w:p>
        </w:tc>
        <w:tc>
          <w:tcPr>
            <w:tcW w:w="71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（1）该项分值通过共享国家信用中心结果得到；</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（2）缺少共享数据的按中位数赋分。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b/>
                <w:bCs/>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4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仿宋_GB2312" w:cs="Times New Roman"/>
                <w:i w:val="0"/>
                <w:iCs w:val="0"/>
                <w:color w:val="000000"/>
                <w:sz w:val="22"/>
                <w:szCs w:val="22"/>
                <w:u w:val="none"/>
              </w:rPr>
            </w:pPr>
          </w:p>
        </w:tc>
        <w:tc>
          <w:tcPr>
            <w:tcW w:w="71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总分</w:t>
            </w:r>
          </w:p>
        </w:tc>
        <w:tc>
          <w:tcPr>
            <w:tcW w:w="2070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100分</w:t>
            </w:r>
          </w:p>
        </w:tc>
      </w:tr>
    </w:tbl>
    <w:p>
      <w:pPr>
        <w:rPr>
          <w:rFonts w:hint="default" w:ascii="Times New Roman" w:hAnsi="Times New Roman" w:eastAsia="黑体" w:cs="Times New Roman"/>
          <w:b w:val="0"/>
          <w:bCs w:val="0"/>
          <w:color w:val="auto"/>
          <w:kern w:val="2"/>
          <w:sz w:val="32"/>
          <w:szCs w:val="32"/>
          <w:highlight w:val="none"/>
          <w:shd w:val="clear" w:color="auto" w:fill="FFFFFF"/>
          <w:lang w:val="en-US" w:eastAsia="zh-CN"/>
        </w:rPr>
      </w:pPr>
      <w:r>
        <w:rPr>
          <w:rFonts w:hint="eastAsia" w:ascii="Times New Roman" w:hAnsi="Times New Roman" w:eastAsia="仿宋" w:cs="Times New Roman"/>
          <w:b w:val="0"/>
          <w:bCs w:val="0"/>
          <w:color w:val="auto"/>
          <w:kern w:val="2"/>
          <w:sz w:val="32"/>
          <w:szCs w:val="32"/>
          <w:highlight w:val="none"/>
          <w:shd w:val="clear" w:color="auto" w:fill="FFFFFF"/>
          <w:lang w:eastAsia="zh-CN"/>
        </w:rPr>
        <w:br w:type="page"/>
      </w:r>
      <w:r>
        <w:rPr>
          <w:rFonts w:hint="default" w:ascii="Times New Roman" w:hAnsi="Times New Roman" w:eastAsia="黑体" w:cs="Times New Roman"/>
          <w:b w:val="0"/>
          <w:bCs w:val="0"/>
          <w:color w:val="auto"/>
          <w:kern w:val="2"/>
          <w:sz w:val="32"/>
          <w:szCs w:val="32"/>
          <w:highlight w:val="none"/>
          <w:shd w:val="clear" w:color="auto" w:fill="FFFFFF"/>
          <w:lang w:eastAsia="zh-CN"/>
        </w:rPr>
        <w:t>附件</w:t>
      </w:r>
      <w:r>
        <w:rPr>
          <w:rFonts w:hint="default" w:ascii="Times New Roman" w:hAnsi="Times New Roman" w:eastAsia="黑体" w:cs="Times New Roman"/>
          <w:b w:val="0"/>
          <w:bCs w:val="0"/>
          <w:color w:val="auto"/>
          <w:kern w:val="2"/>
          <w:sz w:val="32"/>
          <w:szCs w:val="32"/>
          <w:highlight w:val="none"/>
          <w:shd w:val="clear" w:color="auto" w:fill="FFFFFF"/>
          <w:lang w:val="en-US" w:eastAsia="zh-CN"/>
        </w:rPr>
        <w:t>2</w:t>
      </w:r>
    </w:p>
    <w:p>
      <w:pPr>
        <w:jc w:val="center"/>
        <w:rPr>
          <w:rFonts w:hint="eastAsia" w:ascii="Times New Roman" w:hAnsi="Times New Roman" w:eastAsia="仿宋" w:cs="Times New Roman"/>
          <w:b w:val="0"/>
          <w:bCs w:val="0"/>
          <w:color w:val="auto"/>
          <w:kern w:val="2"/>
          <w:sz w:val="32"/>
          <w:szCs w:val="32"/>
          <w:highlight w:val="none"/>
          <w:shd w:val="clear" w:color="auto" w:fill="FFFFFF"/>
          <w:lang w:eastAsia="zh-CN"/>
        </w:rPr>
      </w:pPr>
      <w:r>
        <w:rPr>
          <w:rFonts w:hint="default" w:ascii="Times New Roman" w:hAnsi="Times New Roman" w:eastAsia="方正小标宋简体" w:cs="Times New Roman"/>
          <w:i w:val="0"/>
          <w:iCs w:val="0"/>
          <w:color w:val="000000"/>
          <w:kern w:val="0"/>
          <w:sz w:val="40"/>
          <w:szCs w:val="40"/>
          <w:u w:val="none"/>
          <w:lang w:val="en-US" w:eastAsia="zh-CN" w:bidi="ar"/>
        </w:rPr>
        <w:t>信用评价降级情形清单</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0"/>
        <w:gridCol w:w="1427"/>
        <w:gridCol w:w="14040"/>
        <w:gridCol w:w="2134"/>
        <w:gridCol w:w="2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序号</w:t>
            </w:r>
          </w:p>
        </w:tc>
        <w:tc>
          <w:tcPr>
            <w:tcW w:w="154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降级情形</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降级措施</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影响期限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1</w:t>
            </w:r>
          </w:p>
        </w:tc>
        <w:tc>
          <w:tcPr>
            <w:tcW w:w="14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生产安全责任事故</w:t>
            </w: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发生一般生产安全责任事故且单位负有责任</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降低一级</w:t>
            </w:r>
          </w:p>
        </w:tc>
        <w:tc>
          <w:tcPr>
            <w:tcW w:w="2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降级6个月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2</w:t>
            </w:r>
          </w:p>
        </w:tc>
        <w:tc>
          <w:tcPr>
            <w:tcW w:w="14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default" w:ascii="Times New Roman" w:hAnsi="Times New Roman" w:eastAsia="仿宋_GB2312" w:cs="Times New Roman"/>
                <w:b/>
                <w:bCs/>
                <w:i w:val="0"/>
                <w:iCs w:val="0"/>
                <w:color w:val="000000"/>
                <w:sz w:val="28"/>
                <w:szCs w:val="28"/>
                <w:u w:val="none"/>
              </w:rPr>
            </w:pP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发生较大生产安全责任事故且单位负有责任</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降低二级</w:t>
            </w:r>
          </w:p>
        </w:tc>
        <w:tc>
          <w:tcPr>
            <w:tcW w:w="2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降级12个月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3</w:t>
            </w:r>
          </w:p>
        </w:tc>
        <w:tc>
          <w:tcPr>
            <w:tcW w:w="14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default" w:ascii="Times New Roman" w:hAnsi="Times New Roman" w:eastAsia="仿宋_GB2312" w:cs="Times New Roman"/>
                <w:b/>
                <w:bCs/>
                <w:i w:val="0"/>
                <w:iCs w:val="0"/>
                <w:color w:val="000000"/>
                <w:sz w:val="28"/>
                <w:szCs w:val="28"/>
                <w:u w:val="none"/>
              </w:rPr>
            </w:pP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发生重大、特大或一年2次较大及以上生产安全责任事故且单位负有责任</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降低三级</w:t>
            </w:r>
          </w:p>
        </w:tc>
        <w:tc>
          <w:tcPr>
            <w:tcW w:w="2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降级12个月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4</w:t>
            </w:r>
          </w:p>
        </w:tc>
        <w:tc>
          <w:tcPr>
            <w:tcW w:w="14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工程质量事故</w:t>
            </w: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发生一般质量事故且单位负有责任</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降低一级</w:t>
            </w:r>
          </w:p>
        </w:tc>
        <w:tc>
          <w:tcPr>
            <w:tcW w:w="2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降级3个月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5</w:t>
            </w:r>
          </w:p>
        </w:tc>
        <w:tc>
          <w:tcPr>
            <w:tcW w:w="14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default" w:ascii="Times New Roman" w:hAnsi="Times New Roman" w:eastAsia="仿宋_GB2312" w:cs="Times New Roman"/>
                <w:b/>
                <w:bCs/>
                <w:i w:val="0"/>
                <w:iCs w:val="0"/>
                <w:color w:val="000000"/>
                <w:sz w:val="28"/>
                <w:szCs w:val="28"/>
                <w:u w:val="none"/>
              </w:rPr>
            </w:pP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发生较大质量事故且单位负有责任</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降低一级</w:t>
            </w:r>
          </w:p>
        </w:tc>
        <w:tc>
          <w:tcPr>
            <w:tcW w:w="2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降级6个月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6</w:t>
            </w:r>
          </w:p>
        </w:tc>
        <w:tc>
          <w:tcPr>
            <w:tcW w:w="14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default" w:ascii="Times New Roman" w:hAnsi="Times New Roman" w:eastAsia="仿宋_GB2312" w:cs="Times New Roman"/>
                <w:b/>
                <w:bCs/>
                <w:i w:val="0"/>
                <w:iCs w:val="0"/>
                <w:color w:val="000000"/>
                <w:sz w:val="28"/>
                <w:szCs w:val="28"/>
                <w:u w:val="none"/>
              </w:rPr>
            </w:pP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发生重大、特别重大质量责任事故且单位负有责任</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降低二级</w:t>
            </w:r>
          </w:p>
        </w:tc>
        <w:tc>
          <w:tcPr>
            <w:tcW w:w="2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降级12个月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7</w:t>
            </w:r>
          </w:p>
        </w:tc>
        <w:tc>
          <w:tcPr>
            <w:tcW w:w="14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招投标领域违法违规行为</w:t>
            </w: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投标过程中弄虚作假的</w:t>
            </w:r>
          </w:p>
        </w:tc>
        <w:tc>
          <w:tcPr>
            <w:tcW w:w="21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降低一级</w:t>
            </w:r>
          </w:p>
        </w:tc>
        <w:tc>
          <w:tcPr>
            <w:tcW w:w="260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降级12个月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8</w:t>
            </w:r>
          </w:p>
        </w:tc>
        <w:tc>
          <w:tcPr>
            <w:tcW w:w="14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default" w:ascii="Times New Roman" w:hAnsi="Times New Roman" w:eastAsia="仿宋_GB2312" w:cs="Times New Roman"/>
                <w:b/>
                <w:bCs/>
                <w:i w:val="0"/>
                <w:iCs w:val="0"/>
                <w:color w:val="000000"/>
                <w:sz w:val="28"/>
                <w:szCs w:val="28"/>
                <w:u w:val="none"/>
              </w:rPr>
            </w:pP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投标过程中被认定有围标串标等违法行为的</w:t>
            </w:r>
          </w:p>
        </w:tc>
        <w:tc>
          <w:tcPr>
            <w:tcW w:w="21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8"/>
                <w:szCs w:val="28"/>
                <w:u w:val="none"/>
              </w:rPr>
            </w:pPr>
          </w:p>
        </w:tc>
        <w:tc>
          <w:tcPr>
            <w:tcW w:w="260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9</w:t>
            </w:r>
          </w:p>
        </w:tc>
        <w:tc>
          <w:tcPr>
            <w:tcW w:w="14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default" w:ascii="Times New Roman" w:hAnsi="Times New Roman" w:eastAsia="仿宋_GB2312" w:cs="Times New Roman"/>
                <w:b/>
                <w:bCs/>
                <w:i w:val="0"/>
                <w:iCs w:val="0"/>
                <w:color w:val="000000"/>
                <w:sz w:val="28"/>
                <w:szCs w:val="28"/>
                <w:u w:val="none"/>
              </w:rPr>
            </w:pP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允许其他单位、个人以本企业名义承揽工程，或者单位、个人以其他单位的名义承揽工程的</w:t>
            </w:r>
          </w:p>
        </w:tc>
        <w:tc>
          <w:tcPr>
            <w:tcW w:w="21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8"/>
                <w:szCs w:val="28"/>
                <w:u w:val="none"/>
              </w:rPr>
            </w:pPr>
          </w:p>
        </w:tc>
        <w:tc>
          <w:tcPr>
            <w:tcW w:w="260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10</w:t>
            </w:r>
          </w:p>
        </w:tc>
        <w:tc>
          <w:tcPr>
            <w:tcW w:w="14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default" w:ascii="Times New Roman" w:hAnsi="Times New Roman" w:eastAsia="仿宋_GB2312" w:cs="Times New Roman"/>
                <w:b/>
                <w:bCs/>
                <w:i w:val="0"/>
                <w:iCs w:val="0"/>
                <w:color w:val="000000"/>
                <w:sz w:val="28"/>
                <w:szCs w:val="28"/>
                <w:u w:val="none"/>
              </w:rPr>
            </w:pP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将承包的全部工程转给他人，或将全部工程拆解后以分包名义转包的；将主体工程、关键性工程违法分包给他人，或将承包的工程分包给不具备相应资质单位或个人，或专业（劳务）分包再分包的</w:t>
            </w:r>
          </w:p>
        </w:tc>
        <w:tc>
          <w:tcPr>
            <w:tcW w:w="21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8"/>
                <w:szCs w:val="28"/>
                <w:u w:val="none"/>
              </w:rPr>
            </w:pPr>
          </w:p>
        </w:tc>
        <w:tc>
          <w:tcPr>
            <w:tcW w:w="260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11</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违法犯罪行为</w:t>
            </w:r>
          </w:p>
        </w:tc>
        <w:tc>
          <w:tcPr>
            <w:tcW w:w="14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单位因违反安全生产法、建筑法、建设工程质量管理条例、招标投标法及其实施条例、水利工程质量检测管理规定等有关规定，构成犯罪，被追究刑事责任的</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降至E级</w:t>
            </w:r>
          </w:p>
        </w:tc>
        <w:tc>
          <w:tcPr>
            <w:tcW w:w="2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降级12个月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970"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12</w:t>
            </w:r>
          </w:p>
        </w:tc>
        <w:tc>
          <w:tcPr>
            <w:tcW w:w="14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bidi="ar"/>
              </w:rPr>
              <w:t>其他不良行为</w:t>
            </w:r>
          </w:p>
        </w:tc>
        <w:tc>
          <w:tcPr>
            <w:tcW w:w="140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拒不配合行政处罚、上级机关督办线索调查、检查的</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降低一级</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降级12个月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970"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default" w:ascii="Times New Roman" w:hAnsi="Times New Roman" w:eastAsia="等线" w:cs="Times New Roman"/>
                <w:b w:val="0"/>
                <w:bCs w:val="0"/>
                <w:i w:val="0"/>
                <w:iCs w:val="0"/>
                <w:color w:val="000000"/>
                <w:sz w:val="28"/>
                <w:szCs w:val="28"/>
                <w:u w:val="none"/>
              </w:rPr>
            </w:pPr>
            <w:r>
              <w:rPr>
                <w:rFonts w:hint="default" w:ascii="Times New Roman" w:hAnsi="Times New Roman" w:eastAsia="等线" w:cs="Times New Roman"/>
                <w:b w:val="0"/>
                <w:bCs w:val="0"/>
                <w:i w:val="0"/>
                <w:iCs w:val="0"/>
                <w:color w:val="000000"/>
                <w:kern w:val="0"/>
                <w:sz w:val="28"/>
                <w:szCs w:val="28"/>
                <w:u w:val="none"/>
                <w:lang w:val="en-US" w:eastAsia="zh-CN" w:bidi="ar"/>
              </w:rPr>
              <w:t>13</w:t>
            </w:r>
          </w:p>
        </w:tc>
        <w:tc>
          <w:tcPr>
            <w:tcW w:w="1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bCs/>
                <w:i w:val="0"/>
                <w:iCs w:val="0"/>
                <w:color w:val="000000"/>
                <w:sz w:val="28"/>
                <w:szCs w:val="28"/>
                <w:u w:val="none"/>
              </w:rPr>
            </w:pPr>
          </w:p>
        </w:tc>
        <w:tc>
          <w:tcPr>
            <w:tcW w:w="140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纳入严重失信主体名单的</w:t>
            </w:r>
          </w:p>
        </w:tc>
        <w:tc>
          <w:tcPr>
            <w:tcW w:w="21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降至E级</w:t>
            </w:r>
          </w:p>
        </w:tc>
        <w:tc>
          <w:tcPr>
            <w:tcW w:w="2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与失信名单同步</w:t>
            </w:r>
          </w:p>
        </w:tc>
      </w:tr>
    </w:tbl>
    <w:p>
      <w:pPr>
        <w:pStyle w:val="14"/>
        <w:widowControl w:val="0"/>
        <w:numPr>
          <w:ilvl w:val="0"/>
          <w:numId w:val="0"/>
        </w:numPr>
        <w:shd w:val="clear" w:color="auto" w:fill="FFFFFF"/>
        <w:spacing w:beforeLines="0" w:beforeAutospacing="0" w:afterLines="0" w:afterAutospacing="0" w:line="600" w:lineRule="exact"/>
        <w:ind w:firstLine="640" w:firstLineChars="200"/>
        <w:jc w:val="left"/>
        <w:rPr>
          <w:rFonts w:hint="eastAsia" w:ascii="Times New Roman" w:hAnsi="Times New Roman" w:eastAsia="仿宋" w:cs="Times New Roman"/>
          <w:b w:val="0"/>
          <w:bCs w:val="0"/>
          <w:color w:val="auto"/>
          <w:kern w:val="2"/>
          <w:sz w:val="32"/>
          <w:szCs w:val="32"/>
          <w:highlight w:val="none"/>
          <w:shd w:val="clear" w:color="auto" w:fill="FFFFFF"/>
          <w:lang w:eastAsia="zh-CN"/>
        </w:rPr>
        <w:sectPr>
          <w:headerReference r:id="rId3" w:type="default"/>
          <w:footerReference r:id="rId5" w:type="default"/>
          <w:headerReference r:id="rId4" w:type="even"/>
          <w:footerReference r:id="rId6" w:type="even"/>
          <w:pgSz w:w="23811" w:h="16838" w:orient="landscape"/>
          <w:pgMar w:top="1502" w:right="2154" w:bottom="1502" w:left="1984" w:header="851" w:footer="1474" w:gutter="0"/>
          <w:cols w:space="0" w:num="1"/>
          <w:rtlGutter w:val="0"/>
          <w:docGrid w:type="lines" w:linePitch="314" w:charSpace="0"/>
        </w:sectPr>
      </w:pPr>
    </w:p>
    <w:p>
      <w:pPr>
        <w:widowControl/>
        <w:jc w:val="both"/>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bookmarkEnd w:id="0"/>
    <w:bookmarkEnd w:id="1"/>
    <w:bookmarkEnd w:id="2"/>
    <w:bookmarkEnd w:id="3"/>
    <w:bookmarkEnd w:id="4"/>
    <w:p>
      <w:pPr>
        <w:rPr>
          <w:rFonts w:hint="default"/>
        </w:rPr>
      </w:pPr>
    </w:p>
    <w:sectPr>
      <w:pgSz w:w="11905" w:h="16838"/>
      <w:pgMar w:top="2154" w:right="1502" w:bottom="1984" w:left="1502" w:header="851" w:footer="1474"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_x0004_falt">
    <w:altName w:val="PMingLiU-ExtB"/>
    <w:panose1 w:val="02020500000000000000"/>
    <w:charset w:val="88"/>
    <w:family w:val="roman"/>
    <w:pitch w:val="default"/>
    <w:sig w:usb0="00000000" w:usb1="00000000" w:usb2="00000010" w:usb3="00000000" w:csb0="001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汉仪方隶简">
    <w:altName w:val="隶书"/>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2FF" w:usb1="420024FF" w:usb2="00000000" w:usb3="00000000" w:csb0="2000019F" w:csb1="00000000"/>
  </w:font>
  <w:font w:name="隶书">
    <w:panose1 w:val="02010509060101010101"/>
    <w:charset w:val="86"/>
    <w:family w:val="auto"/>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bookmarkStart w:id="5" w:name="OLE_LINK9"/>
    <w:r>
      <w:rPr>
        <w:sz w:val="28"/>
      </w:rPr>
      <w:t xml:space="preserve">— </w:t>
    </w:r>
    <w:r>
      <w:rPr>
        <w:rStyle w:val="21"/>
        <w:sz w:val="28"/>
      </w:rPr>
      <w:fldChar w:fldCharType="begin"/>
    </w:r>
    <w:r>
      <w:rPr>
        <w:rStyle w:val="21"/>
        <w:sz w:val="28"/>
      </w:rPr>
      <w:instrText xml:space="preserve"> PAGE </w:instrText>
    </w:r>
    <w:r>
      <w:rPr>
        <w:rStyle w:val="21"/>
        <w:sz w:val="28"/>
      </w:rPr>
      <w:fldChar w:fldCharType="separate"/>
    </w:r>
    <w:r>
      <w:rPr>
        <w:rStyle w:val="21"/>
        <w:sz w:val="28"/>
      </w:rPr>
      <w:t>2</w:t>
    </w:r>
    <w:r>
      <w:rPr>
        <w:rStyle w:val="21"/>
        <w:sz w:val="28"/>
      </w:rPr>
      <w:fldChar w:fldCharType="end"/>
    </w:r>
    <w:r>
      <w:rPr>
        <w:sz w:val="28"/>
      </w:rPr>
      <w:t xml:space="preserve"> —</w:t>
    </w:r>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bookmarkStart w:id="6" w:name="OLE_LINK4"/>
    <w:bookmarkStart w:id="7" w:name="OLE_LINK6"/>
    <w:bookmarkStart w:id="8" w:name="OLE_LINK2"/>
    <w:bookmarkStart w:id="9" w:name="OLE_LINK8"/>
    <w:r>
      <w:rPr>
        <w:sz w:val="28"/>
      </w:rPr>
      <w:t xml:space="preserve">— </w:t>
    </w:r>
    <w:r>
      <w:rPr>
        <w:rStyle w:val="21"/>
        <w:sz w:val="28"/>
      </w:rPr>
      <w:fldChar w:fldCharType="begin"/>
    </w:r>
    <w:r>
      <w:rPr>
        <w:rStyle w:val="21"/>
        <w:sz w:val="28"/>
      </w:rPr>
      <w:instrText xml:space="preserve"> PAGE </w:instrText>
    </w:r>
    <w:r>
      <w:rPr>
        <w:rStyle w:val="21"/>
        <w:sz w:val="28"/>
      </w:rPr>
      <w:fldChar w:fldCharType="separate"/>
    </w:r>
    <w:r>
      <w:rPr>
        <w:rStyle w:val="21"/>
        <w:sz w:val="28"/>
      </w:rPr>
      <w:t>2</w:t>
    </w:r>
    <w:r>
      <w:rPr>
        <w:rStyle w:val="21"/>
        <w:sz w:val="28"/>
      </w:rPr>
      <w:fldChar w:fldCharType="end"/>
    </w:r>
    <w:r>
      <w:rPr>
        <w:sz w:val="28"/>
      </w:rPr>
      <w:t xml:space="preserve"> —</w:t>
    </w:r>
    <w:bookmarkEnd w:id="6"/>
    <w:bookmarkEnd w:id="7"/>
    <w:bookmarkEnd w:id="8"/>
    <w:bookmarkEnd w:id="9"/>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4530E"/>
    <w:multiLevelType w:val="singleLevel"/>
    <w:tmpl w:val="BEF4530E"/>
    <w:lvl w:ilvl="0" w:tentative="0">
      <w:start w:val="1"/>
      <w:numFmt w:val="decimal"/>
      <w:suff w:val="nothing"/>
      <w:lvlText w:val="（%1）"/>
      <w:lvlJc w:val="left"/>
    </w:lvl>
  </w:abstractNum>
  <w:abstractNum w:abstractNumId="1">
    <w:nsid w:val="D9FEA496"/>
    <w:multiLevelType w:val="singleLevel"/>
    <w:tmpl w:val="D9FEA496"/>
    <w:lvl w:ilvl="0" w:tentative="0">
      <w:start w:val="1"/>
      <w:numFmt w:val="decimal"/>
      <w:suff w:val="nothing"/>
      <w:lvlText w:val="（%1）"/>
      <w:lvlJc w:val="left"/>
    </w:lvl>
  </w:abstractNum>
  <w:abstractNum w:abstractNumId="2">
    <w:nsid w:val="613AD572"/>
    <w:multiLevelType w:val="singleLevel"/>
    <w:tmpl w:val="613AD57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5A"/>
    <w:rsid w:val="00002509"/>
    <w:rsid w:val="000140DB"/>
    <w:rsid w:val="00057812"/>
    <w:rsid w:val="00075C9F"/>
    <w:rsid w:val="000F37D4"/>
    <w:rsid w:val="00106906"/>
    <w:rsid w:val="001105D5"/>
    <w:rsid w:val="001313B2"/>
    <w:rsid w:val="001B7B46"/>
    <w:rsid w:val="001F42BC"/>
    <w:rsid w:val="0020370A"/>
    <w:rsid w:val="002140B7"/>
    <w:rsid w:val="002563B0"/>
    <w:rsid w:val="00271072"/>
    <w:rsid w:val="002B23C7"/>
    <w:rsid w:val="002B53CA"/>
    <w:rsid w:val="00333418"/>
    <w:rsid w:val="003407E3"/>
    <w:rsid w:val="00365074"/>
    <w:rsid w:val="0036689B"/>
    <w:rsid w:val="00381AB2"/>
    <w:rsid w:val="0039448E"/>
    <w:rsid w:val="003D2520"/>
    <w:rsid w:val="00440692"/>
    <w:rsid w:val="004A0DA8"/>
    <w:rsid w:val="005464E9"/>
    <w:rsid w:val="00557EB2"/>
    <w:rsid w:val="00592CDA"/>
    <w:rsid w:val="005C78DD"/>
    <w:rsid w:val="005E67DA"/>
    <w:rsid w:val="00620829"/>
    <w:rsid w:val="006A36B4"/>
    <w:rsid w:val="006B43DE"/>
    <w:rsid w:val="006D2E0E"/>
    <w:rsid w:val="00717889"/>
    <w:rsid w:val="00730381"/>
    <w:rsid w:val="00793D26"/>
    <w:rsid w:val="008524DA"/>
    <w:rsid w:val="008928E9"/>
    <w:rsid w:val="008C2423"/>
    <w:rsid w:val="00936B70"/>
    <w:rsid w:val="00963781"/>
    <w:rsid w:val="009945D5"/>
    <w:rsid w:val="009D4286"/>
    <w:rsid w:val="00A036B2"/>
    <w:rsid w:val="00A45341"/>
    <w:rsid w:val="00A8442C"/>
    <w:rsid w:val="00AC594A"/>
    <w:rsid w:val="00AD3907"/>
    <w:rsid w:val="00AE1D56"/>
    <w:rsid w:val="00AF36AA"/>
    <w:rsid w:val="00B05404"/>
    <w:rsid w:val="00B0644C"/>
    <w:rsid w:val="00B072BD"/>
    <w:rsid w:val="00B128C1"/>
    <w:rsid w:val="00BB5782"/>
    <w:rsid w:val="00BC48DC"/>
    <w:rsid w:val="00C4415E"/>
    <w:rsid w:val="00C47270"/>
    <w:rsid w:val="00C5005F"/>
    <w:rsid w:val="00C57573"/>
    <w:rsid w:val="00C641D0"/>
    <w:rsid w:val="00CA075A"/>
    <w:rsid w:val="00CC2556"/>
    <w:rsid w:val="00CF52CD"/>
    <w:rsid w:val="00D151F0"/>
    <w:rsid w:val="00D51721"/>
    <w:rsid w:val="00D52B4A"/>
    <w:rsid w:val="00DC58DF"/>
    <w:rsid w:val="00E42DFB"/>
    <w:rsid w:val="00E47B60"/>
    <w:rsid w:val="00E63366"/>
    <w:rsid w:val="00EA16BF"/>
    <w:rsid w:val="00F715FB"/>
    <w:rsid w:val="00FF406B"/>
    <w:rsid w:val="0112493B"/>
    <w:rsid w:val="01275B88"/>
    <w:rsid w:val="03043147"/>
    <w:rsid w:val="040D6149"/>
    <w:rsid w:val="04984918"/>
    <w:rsid w:val="05B059DC"/>
    <w:rsid w:val="07087C36"/>
    <w:rsid w:val="09357DC2"/>
    <w:rsid w:val="0A726AF0"/>
    <w:rsid w:val="0A7768AB"/>
    <w:rsid w:val="0C923813"/>
    <w:rsid w:val="0F3F2C46"/>
    <w:rsid w:val="103C1A4D"/>
    <w:rsid w:val="110514C8"/>
    <w:rsid w:val="1184098E"/>
    <w:rsid w:val="145A112D"/>
    <w:rsid w:val="145C2E75"/>
    <w:rsid w:val="14D3287C"/>
    <w:rsid w:val="15D96E52"/>
    <w:rsid w:val="166F6593"/>
    <w:rsid w:val="17E34DFD"/>
    <w:rsid w:val="18B218FB"/>
    <w:rsid w:val="19666B40"/>
    <w:rsid w:val="1EA61C1C"/>
    <w:rsid w:val="201F328E"/>
    <w:rsid w:val="204164D6"/>
    <w:rsid w:val="20857532"/>
    <w:rsid w:val="22CD713B"/>
    <w:rsid w:val="249917FE"/>
    <w:rsid w:val="25496CB8"/>
    <w:rsid w:val="26E86758"/>
    <w:rsid w:val="281C42D6"/>
    <w:rsid w:val="282E424F"/>
    <w:rsid w:val="28CA5914"/>
    <w:rsid w:val="28D728F5"/>
    <w:rsid w:val="299F2498"/>
    <w:rsid w:val="2A3A5398"/>
    <w:rsid w:val="2A790753"/>
    <w:rsid w:val="2A996C08"/>
    <w:rsid w:val="2AA93E47"/>
    <w:rsid w:val="2B3D4460"/>
    <w:rsid w:val="2C9D7460"/>
    <w:rsid w:val="30482F71"/>
    <w:rsid w:val="317B65FC"/>
    <w:rsid w:val="34327CBF"/>
    <w:rsid w:val="35C63FF8"/>
    <w:rsid w:val="38A74091"/>
    <w:rsid w:val="391F0CCE"/>
    <w:rsid w:val="3DE5561F"/>
    <w:rsid w:val="3EB95B30"/>
    <w:rsid w:val="430663C7"/>
    <w:rsid w:val="439025BE"/>
    <w:rsid w:val="447A14B4"/>
    <w:rsid w:val="459A61DB"/>
    <w:rsid w:val="45A96EFD"/>
    <w:rsid w:val="461B3AA5"/>
    <w:rsid w:val="473B6D2B"/>
    <w:rsid w:val="485F0B41"/>
    <w:rsid w:val="49397D20"/>
    <w:rsid w:val="4A6242BC"/>
    <w:rsid w:val="4CBF4540"/>
    <w:rsid w:val="4E5E318D"/>
    <w:rsid w:val="4EA35EC7"/>
    <w:rsid w:val="4F4907FF"/>
    <w:rsid w:val="4FA237C1"/>
    <w:rsid w:val="4FFF7C98"/>
    <w:rsid w:val="50333B12"/>
    <w:rsid w:val="50976A7A"/>
    <w:rsid w:val="51EE7F7C"/>
    <w:rsid w:val="525619B7"/>
    <w:rsid w:val="52F155B2"/>
    <w:rsid w:val="54653160"/>
    <w:rsid w:val="54E43AFF"/>
    <w:rsid w:val="55FA5320"/>
    <w:rsid w:val="56471167"/>
    <w:rsid w:val="57264BC9"/>
    <w:rsid w:val="578C2855"/>
    <w:rsid w:val="59266B6D"/>
    <w:rsid w:val="59A971F3"/>
    <w:rsid w:val="5AC7058F"/>
    <w:rsid w:val="5B1E2F44"/>
    <w:rsid w:val="5C300DC0"/>
    <w:rsid w:val="5C9F7071"/>
    <w:rsid w:val="5CDD2DE8"/>
    <w:rsid w:val="5D867C9A"/>
    <w:rsid w:val="5DCA244C"/>
    <w:rsid w:val="5E0952BC"/>
    <w:rsid w:val="5F442223"/>
    <w:rsid w:val="618B667F"/>
    <w:rsid w:val="62150D8B"/>
    <w:rsid w:val="630737FB"/>
    <w:rsid w:val="63A403C6"/>
    <w:rsid w:val="63A707BD"/>
    <w:rsid w:val="63A76EDE"/>
    <w:rsid w:val="63BF34B1"/>
    <w:rsid w:val="654A3CCA"/>
    <w:rsid w:val="65D0006E"/>
    <w:rsid w:val="65FD144F"/>
    <w:rsid w:val="66D45F9C"/>
    <w:rsid w:val="68AD0F6C"/>
    <w:rsid w:val="69226D43"/>
    <w:rsid w:val="6B771722"/>
    <w:rsid w:val="6B7B1AB7"/>
    <w:rsid w:val="6D673814"/>
    <w:rsid w:val="6DC9259F"/>
    <w:rsid w:val="6F353697"/>
    <w:rsid w:val="6F775864"/>
    <w:rsid w:val="6FAE1CC6"/>
    <w:rsid w:val="6FC3625E"/>
    <w:rsid w:val="6FDB4045"/>
    <w:rsid w:val="71902239"/>
    <w:rsid w:val="71A7216A"/>
    <w:rsid w:val="731D21B5"/>
    <w:rsid w:val="73762AEF"/>
    <w:rsid w:val="73E96EF4"/>
    <w:rsid w:val="7826607A"/>
    <w:rsid w:val="7CB9294D"/>
    <w:rsid w:val="7CD97179"/>
    <w:rsid w:val="7CE73CB7"/>
    <w:rsid w:val="C71B9C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4">
    <w:name w:val="Normal Indent"/>
    <w:basedOn w:val="1"/>
    <w:next w:val="1"/>
    <w:qFormat/>
    <w:uiPriority w:val="0"/>
    <w:pPr>
      <w:ind w:firstLine="420" w:firstLineChars="200"/>
    </w:pPr>
    <w:rPr>
      <w:rFonts w:ascii="Calibri" w:hAnsi="Calibri" w:eastAsia="仿宋"/>
      <w:sz w:val="32"/>
    </w:rPr>
  </w:style>
  <w:style w:type="paragraph" w:styleId="5">
    <w:name w:val="annotation text"/>
    <w:basedOn w:val="1"/>
    <w:qFormat/>
    <w:uiPriority w:val="99"/>
    <w:pPr>
      <w:jc w:val="left"/>
    </w:pPr>
  </w:style>
  <w:style w:type="paragraph" w:styleId="6">
    <w:name w:val="Body Text"/>
    <w:basedOn w:val="1"/>
    <w:next w:val="7"/>
    <w:qFormat/>
    <w:uiPriority w:val="0"/>
    <w:pPr>
      <w:spacing w:after="120" w:afterLines="0" w:afterAutospacing="0"/>
    </w:pPr>
  </w:style>
  <w:style w:type="paragraph" w:styleId="7">
    <w:name w:val="Body Text First Indent"/>
    <w:basedOn w:val="6"/>
    <w:next w:val="6"/>
    <w:qFormat/>
    <w:uiPriority w:val="0"/>
    <w:pPr>
      <w:keepNext w:val="0"/>
      <w:keepLines w:val="0"/>
      <w:widowControl w:val="0"/>
      <w:suppressLineNumbers w:val="0"/>
      <w:overflowPunct w:val="0"/>
      <w:topLinePunct/>
      <w:spacing w:before="0" w:beforeAutospacing="0" w:after="120" w:afterAutospacing="0"/>
      <w:ind w:left="0" w:right="0" w:firstLine="420" w:firstLineChars="100"/>
      <w:jc w:val="both"/>
    </w:pPr>
    <w:rPr>
      <w:rFonts w:hint="default" w:ascii="Times New Roman" w:hAnsi="Times New Roman" w:eastAsia="方正仿宋_GBK" w:cs="Times New Roman"/>
      <w:kern w:val="2"/>
      <w:sz w:val="32"/>
      <w:szCs w:val="32"/>
      <w:lang w:val="en-US" w:eastAsia="zh-CN" w:bidi="ar"/>
    </w:rPr>
  </w:style>
  <w:style w:type="paragraph" w:styleId="8">
    <w:name w:val="Body Text Indent"/>
    <w:basedOn w:val="1"/>
    <w:next w:val="9"/>
    <w:qFormat/>
    <w:uiPriority w:val="0"/>
    <w:pPr>
      <w:keepNext w:val="0"/>
      <w:keepLines w:val="0"/>
      <w:widowControl/>
      <w:suppressLineNumbers w:val="0"/>
      <w:autoSpaceDE w:val="0"/>
      <w:autoSpaceDN w:val="0"/>
      <w:spacing w:before="0" w:beforeAutospacing="0" w:after="0" w:afterAutospacing="0"/>
      <w:ind w:left="0" w:right="0" w:firstLine="700"/>
      <w:jc w:val="left"/>
    </w:pPr>
    <w:rPr>
      <w:rFonts w:hint="eastAsia" w:ascii="仿宋_GB2312" w:hAnsi="仿宋" w:eastAsia="仿宋_GB2312" w:cs="仿宋"/>
      <w:kern w:val="0"/>
      <w:sz w:val="32"/>
      <w:szCs w:val="20"/>
      <w:lang w:val="en-US" w:eastAsia="zh-CN" w:bidi="ar"/>
    </w:rPr>
  </w:style>
  <w:style w:type="paragraph" w:styleId="9">
    <w:name w:val="Body Text First Indent 2"/>
    <w:basedOn w:val="8"/>
    <w:qFormat/>
    <w:uiPriority w:val="0"/>
    <w:pPr>
      <w:spacing w:before="100" w:beforeAutospacing="1" w:after="0" w:line="580" w:lineRule="exact"/>
      <w:ind w:left="0" w:leftChars="0" w:firstLine="420" w:firstLineChars="200"/>
    </w:pPr>
    <w:rPr>
      <w:rFonts w:ascii="仿宋_GB2312" w:hAnsi="Calibri" w:eastAsia="仿宋_GB2312"/>
      <w:sz w:val="31"/>
      <w:szCs w:val="31"/>
    </w:rPr>
  </w:style>
  <w:style w:type="paragraph" w:styleId="10">
    <w:name w:val="Balloon Text"/>
    <w:basedOn w:val="1"/>
    <w:link w:val="26"/>
    <w:qFormat/>
    <w:uiPriority w:val="0"/>
    <w:rPr>
      <w:sz w:val="18"/>
      <w:szCs w:val="18"/>
    </w:rPr>
  </w:style>
  <w:style w:type="paragraph" w:styleId="11">
    <w:name w:val="footer"/>
    <w:basedOn w:val="1"/>
    <w:link w:val="27"/>
    <w:qFormat/>
    <w:uiPriority w:val="0"/>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keepNext w:val="0"/>
      <w:keepLines w:val="0"/>
      <w:widowControl w:val="0"/>
      <w:suppressLineNumbers w:val="0"/>
      <w:overflowPunct w:val="0"/>
      <w:topLinePunct/>
      <w:spacing w:before="0" w:beforeAutospacing="0" w:after="0" w:afterAutospacing="0" w:line="579" w:lineRule="exact"/>
      <w:ind w:left="0" w:right="0" w:firstLine="880" w:firstLineChars="200"/>
      <w:jc w:val="both"/>
    </w:pPr>
    <w:rPr>
      <w:rFonts w:hint="default" w:ascii="Times New Roman" w:hAnsi="Times New Roman" w:eastAsia="方正仿宋_GBK" w:cs="宋体"/>
      <w:kern w:val="2"/>
      <w:sz w:val="32"/>
      <w:szCs w:val="21"/>
      <w:lang w:val="en-US" w:eastAsia="zh-CN" w:bidi="ar"/>
    </w:rPr>
  </w:style>
  <w:style w:type="paragraph" w:styleId="14">
    <w:name w:val="Normal (Web)"/>
    <w:basedOn w:val="1"/>
    <w:qFormat/>
    <w:uiPriority w:val="0"/>
    <w:pPr>
      <w:spacing w:before="100" w:beforeAutospacing="1" w:after="100" w:afterAutospacing="1"/>
      <w:jc w:val="left"/>
    </w:pPr>
    <w:rPr>
      <w:rFonts w:ascii="Calibri" w:hAnsi="Calibri"/>
      <w:kern w:val="0"/>
      <w:sz w:val="24"/>
    </w:rPr>
  </w:style>
  <w:style w:type="paragraph" w:styleId="15">
    <w:name w:val="Title"/>
    <w:basedOn w:val="1"/>
    <w:next w:val="1"/>
    <w:qFormat/>
    <w:uiPriority w:val="0"/>
    <w:pPr>
      <w:spacing w:before="240" w:after="60"/>
      <w:jc w:val="center"/>
      <w:outlineLvl w:val="0"/>
    </w:pPr>
    <w:rPr>
      <w:rFonts w:ascii="Arial" w:hAnsi="Arial"/>
      <w:b/>
      <w:bCs/>
      <w:sz w:val="32"/>
      <w:szCs w:val="32"/>
    </w:rPr>
  </w:style>
  <w:style w:type="paragraph" w:styleId="16">
    <w:name w:val="annotation subject"/>
    <w:basedOn w:val="5"/>
    <w:next w:val="5"/>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style>
  <w:style w:type="character" w:styleId="22">
    <w:name w:val="Hyperlink"/>
    <w:basedOn w:val="19"/>
    <w:qFormat/>
    <w:uiPriority w:val="99"/>
    <w:rPr>
      <w:color w:val="0000FF"/>
      <w:u w:val="single"/>
    </w:rPr>
  </w:style>
  <w:style w:type="paragraph" w:customStyle="1" w:styleId="23">
    <w:name w:val="Body Text First Indent 21"/>
    <w:next w:val="1"/>
    <w:qFormat/>
    <w:uiPriority w:val="0"/>
    <w:pPr>
      <w:widowControl w:val="0"/>
      <w:ind w:firstLine="640" w:firstLineChars="200"/>
      <w:jc w:val="both"/>
    </w:pPr>
    <w:rPr>
      <w:rFonts w:ascii="宋体" w:hAnsi="宋体" w:eastAsia="宋体" w:cs="宋体"/>
      <w:kern w:val="2"/>
      <w:sz w:val="32"/>
      <w:szCs w:val="24"/>
      <w:lang w:val="en-US" w:eastAsia="zh-CN" w:bidi="ar-SA"/>
    </w:rPr>
  </w:style>
  <w:style w:type="paragraph" w:customStyle="1" w:styleId="24">
    <w:name w:val="正文首行缩进 21"/>
    <w:next w:val="1"/>
    <w:qFormat/>
    <w:uiPriority w:val="0"/>
    <w:pPr>
      <w:widowControl w:val="0"/>
      <w:ind w:firstLine="640" w:firstLineChars="200"/>
      <w:jc w:val="both"/>
    </w:pPr>
    <w:rPr>
      <w:rFonts w:ascii="宋体" w:hAnsi="宋体" w:eastAsia="宋体" w:cs="宋体"/>
      <w:kern w:val="2"/>
      <w:sz w:val="32"/>
      <w:szCs w:val="24"/>
      <w:lang w:val="en-US" w:eastAsia="zh-CN" w:bidi="ar-SA"/>
    </w:rPr>
  </w:style>
  <w:style w:type="paragraph" w:customStyle="1" w:styleId="25">
    <w:name w:val="正文缩进1"/>
    <w:basedOn w:val="1"/>
    <w:qFormat/>
    <w:uiPriority w:val="0"/>
    <w:pPr>
      <w:ind w:firstLine="420" w:firstLineChars="200"/>
    </w:pPr>
  </w:style>
  <w:style w:type="character" w:customStyle="1" w:styleId="26">
    <w:name w:val="批注框文本 Char"/>
    <w:link w:val="10"/>
    <w:qFormat/>
    <w:uiPriority w:val="0"/>
    <w:rPr>
      <w:kern w:val="2"/>
      <w:sz w:val="18"/>
      <w:szCs w:val="18"/>
    </w:rPr>
  </w:style>
  <w:style w:type="character" w:customStyle="1" w:styleId="27">
    <w:name w:val="页脚 Char"/>
    <w:link w:val="11"/>
    <w:qFormat/>
    <w:uiPriority w:val="0"/>
    <w:rPr>
      <w:kern w:val="2"/>
      <w:sz w:val="18"/>
      <w:szCs w:val="18"/>
    </w:rPr>
  </w:style>
  <w:style w:type="character" w:customStyle="1" w:styleId="28">
    <w:name w:val="页眉 Char"/>
    <w:link w:val="12"/>
    <w:qFormat/>
    <w:uiPriority w:val="0"/>
    <w:rPr>
      <w:kern w:val="2"/>
      <w:sz w:val="18"/>
      <w:szCs w:val="18"/>
    </w:rPr>
  </w:style>
  <w:style w:type="paragraph" w:styleId="29">
    <w:name w:val="List Paragraph"/>
    <w:basedOn w:val="1"/>
    <w:qFormat/>
    <w:uiPriority w:val="34"/>
    <w:pPr>
      <w:ind w:firstLine="420" w:firstLineChars="200"/>
    </w:pPr>
    <w:rPr>
      <w:szCs w:val="22"/>
    </w:rPr>
  </w:style>
  <w:style w:type="paragraph" w:customStyle="1" w:styleId="30">
    <w:name w:val="Table Paragraph"/>
    <w:basedOn w:val="1"/>
    <w:qFormat/>
    <w:uiPriority w:val="0"/>
    <w:pPr>
      <w:spacing w:before="160" w:line="319" w:lineRule="exact"/>
      <w:ind w:left="107"/>
      <w:jc w:val="center"/>
    </w:pPr>
    <w:rPr>
      <w:rFonts w:ascii="PMingLiU_x0004_falt" w:hAnsi="PMingLiU_x0004_falt" w:eastAsia="PMingLiU_x0004_falt" w:cs="PMingLiU_x0004_falt"/>
    </w:rPr>
  </w:style>
  <w:style w:type="paragraph" w:customStyle="1" w:styleId="31">
    <w:name w:val="一级标题"/>
    <w:basedOn w:val="15"/>
    <w:next w:val="32"/>
    <w:qFormat/>
    <w:uiPriority w:val="0"/>
    <w:pPr>
      <w:widowControl w:val="0"/>
      <w:adjustRightInd/>
      <w:spacing w:line="240" w:lineRule="auto"/>
      <w:ind w:firstLine="0" w:firstLineChars="0"/>
      <w:jc w:val="center"/>
      <w:outlineLvl w:val="0"/>
    </w:pPr>
    <w:rPr>
      <w:rFonts w:ascii="方正小标宋简体" w:hAnsi="方正小标宋简体" w:eastAsia="方正小标宋简体"/>
      <w:sz w:val="44"/>
      <w:szCs w:val="44"/>
    </w:rPr>
  </w:style>
  <w:style w:type="paragraph" w:customStyle="1" w:styleId="32">
    <w:name w:val="正文02"/>
    <w:basedOn w:val="1"/>
    <w:qFormat/>
    <w:uiPriority w:val="0"/>
    <w:pPr>
      <w:spacing w:line="560" w:lineRule="exact"/>
      <w:ind w:firstLine="640" w:firstLineChars="200"/>
      <w:jc w:val="both"/>
    </w:pPr>
    <w:rPr>
      <w:rFonts w:ascii="Times New Roman" w:hAnsi="Times New Roman"/>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41"/>
    <w:basedOn w:val="19"/>
    <w:qFormat/>
    <w:uiPriority w:val="0"/>
    <w:rPr>
      <w:rFonts w:ascii="仿宋_GB2312" w:eastAsia="仿宋_GB2312" w:cs="仿宋_GB2312"/>
      <w:color w:val="000000"/>
      <w:sz w:val="22"/>
      <w:szCs w:val="22"/>
      <w:u w:val="none"/>
    </w:rPr>
  </w:style>
  <w:style w:type="character" w:customStyle="1" w:styleId="35">
    <w:name w:val="font21"/>
    <w:basedOn w:val="19"/>
    <w:qFormat/>
    <w:uiPriority w:val="0"/>
    <w:rPr>
      <w:rFonts w:hint="eastAsia" w:ascii="宋体" w:hAnsi="宋体" w:eastAsia="宋体" w:cs="宋体"/>
      <w:color w:val="000000"/>
      <w:sz w:val="20"/>
      <w:szCs w:val="20"/>
      <w:u w:val="none"/>
    </w:rPr>
  </w:style>
  <w:style w:type="character" w:customStyle="1" w:styleId="36">
    <w:name w:val="font61"/>
    <w:basedOn w:val="19"/>
    <w:qFormat/>
    <w:uiPriority w:val="0"/>
    <w:rPr>
      <w:rFonts w:hint="eastAsia" w:ascii="宋体" w:hAnsi="宋体" w:eastAsia="宋体" w:cs="宋体"/>
      <w:b/>
      <w:bCs/>
      <w:color w:val="auto"/>
      <w:sz w:val="28"/>
      <w:szCs w:val="28"/>
      <w:u w:val="none"/>
    </w:rPr>
  </w:style>
  <w:style w:type="character" w:customStyle="1" w:styleId="37">
    <w:name w:val="font71"/>
    <w:basedOn w:val="19"/>
    <w:qFormat/>
    <w:uiPriority w:val="0"/>
    <w:rPr>
      <w:rFonts w:hint="eastAsia" w:ascii="宋体" w:hAnsi="宋体" w:eastAsia="宋体" w:cs="宋体"/>
      <w:color w:val="auto"/>
      <w:sz w:val="28"/>
      <w:szCs w:val="28"/>
      <w:u w:val="none"/>
    </w:rPr>
  </w:style>
  <w:style w:type="character" w:customStyle="1" w:styleId="38">
    <w:name w:val="font12"/>
    <w:basedOn w:val="19"/>
    <w:qFormat/>
    <w:uiPriority w:val="0"/>
    <w:rPr>
      <w:rFonts w:hint="default" w:ascii="Times New Roman" w:hAnsi="Times New Roman" w:cs="Times New Roman"/>
      <w:color w:val="000000"/>
      <w:sz w:val="22"/>
      <w:szCs w:val="22"/>
      <w:u w:val="none"/>
    </w:rPr>
  </w:style>
  <w:style w:type="character" w:customStyle="1" w:styleId="39">
    <w:name w:val="font31"/>
    <w:basedOn w:val="19"/>
    <w:qFormat/>
    <w:uiPriority w:val="0"/>
    <w:rPr>
      <w:rFonts w:hint="eastAsia" w:ascii="仿宋_GB2312" w:eastAsia="仿宋_GB2312" w:cs="仿宋_GB2312"/>
      <w:color w:val="000000"/>
      <w:sz w:val="22"/>
      <w:szCs w:val="22"/>
      <w:u w:val="none"/>
    </w:rPr>
  </w:style>
  <w:style w:type="character" w:customStyle="1" w:styleId="40">
    <w:name w:val="font01"/>
    <w:basedOn w:val="19"/>
    <w:qFormat/>
    <w:uiPriority w:val="0"/>
    <w:rPr>
      <w:rFonts w:ascii="Arial" w:hAnsi="Arial" w:cs="Arial"/>
      <w:color w:val="000000"/>
      <w:sz w:val="22"/>
      <w:szCs w:val="22"/>
      <w:u w:val="none"/>
    </w:rPr>
  </w:style>
  <w:style w:type="character" w:customStyle="1" w:styleId="41">
    <w:name w:val="font11"/>
    <w:basedOn w:val="19"/>
    <w:qFormat/>
    <w:uiPriority w:val="0"/>
    <w:rPr>
      <w:rFonts w:hint="eastAsia" w:ascii="仿宋_GB2312" w:eastAsia="仿宋_GB2312" w:cs="仿宋_GB2312"/>
      <w:color w:val="000000"/>
      <w:sz w:val="22"/>
      <w:szCs w:val="22"/>
      <w:u w:val="none"/>
    </w:rPr>
  </w:style>
  <w:style w:type="character" w:customStyle="1" w:styleId="42">
    <w:name w:val="font91"/>
    <w:basedOn w:val="19"/>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163</Words>
  <Characters>930</Characters>
  <Lines>7</Lines>
  <Paragraphs>2</Paragraphs>
  <TotalTime>9</TotalTime>
  <ScaleCrop>false</ScaleCrop>
  <LinksUpToDate>false</LinksUpToDate>
  <CharactersWithSpaces>1091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2021-11-04T14:33:00Z</dcterms:created>
  <dc:creator>管理员</dc:creator>
  <cp:lastModifiedBy>蔡麒麟</cp:lastModifiedBy>
  <cp:lastPrinted>2025-12-01T11:18:00Z</cp:lastPrinted>
  <dcterms:modified xsi:type="dcterms:W3CDTF">2025-12-04T01:31:34Z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CDA55732155B4BA9AB339ABA97FFEDB8</vt:lpwstr>
  </property>
</Properties>
</file>